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13" w:rsidRPr="00BF0BCB" w:rsidRDefault="000463CA" w:rsidP="00F0459C">
      <w:pPr>
        <w:spacing w:before="0" w:after="0"/>
        <w:rPr>
          <w:rFonts w:asciiTheme="majorHAnsi" w:hAnsiTheme="majorHAnsi"/>
          <w:b/>
          <w:sz w:val="28"/>
        </w:rPr>
      </w:pPr>
      <w:r w:rsidRPr="00BF0BCB">
        <w:rPr>
          <w:rFonts w:asciiTheme="majorHAnsi" w:hAnsiTheme="majorHAnsi"/>
          <w:b/>
          <w:sz w:val="28"/>
          <w:highlight w:val="yellow"/>
        </w:rPr>
        <w:t>EMBARGOED UNTIL 12:01 am EST 12/08/2014</w:t>
      </w:r>
      <w:bookmarkStart w:id="0" w:name="_GoBack"/>
      <w:bookmarkEnd w:id="0"/>
    </w:p>
    <w:p w:rsidR="003D0913" w:rsidRDefault="003D0913" w:rsidP="00421EBF">
      <w:pPr>
        <w:jc w:val="center"/>
        <w:rPr>
          <w:rFonts w:asciiTheme="majorHAnsi" w:hAnsiTheme="majorHAnsi"/>
          <w:b/>
          <w:sz w:val="24"/>
        </w:rPr>
      </w:pPr>
    </w:p>
    <w:p w:rsidR="003D0913" w:rsidRPr="00550B2B" w:rsidRDefault="00D17DF7" w:rsidP="00421EBF">
      <w:pPr>
        <w:jc w:val="center"/>
        <w:rPr>
          <w:rFonts w:asciiTheme="majorHAnsi" w:hAnsiTheme="majorHAnsi"/>
          <w:b/>
          <w:sz w:val="24"/>
        </w:rPr>
      </w:pPr>
      <w:r w:rsidRPr="00550B2B">
        <w:rPr>
          <w:rFonts w:asciiTheme="majorHAnsi" w:hAnsiTheme="majorHAnsi"/>
          <w:b/>
          <w:sz w:val="28"/>
        </w:rPr>
        <w:t xml:space="preserve">MAGNA GLOBAL </w:t>
      </w:r>
      <w:r w:rsidR="000463CA">
        <w:rPr>
          <w:rFonts w:asciiTheme="majorHAnsi" w:hAnsiTheme="majorHAnsi"/>
          <w:b/>
          <w:sz w:val="28"/>
        </w:rPr>
        <w:t>Forecasts</w:t>
      </w:r>
      <w:r w:rsidR="00550B2B" w:rsidRPr="00550B2B">
        <w:rPr>
          <w:rFonts w:asciiTheme="majorHAnsi" w:hAnsiTheme="majorHAnsi"/>
          <w:b/>
          <w:sz w:val="28"/>
        </w:rPr>
        <w:t xml:space="preserve"> </w:t>
      </w:r>
      <w:r w:rsidR="000463CA">
        <w:rPr>
          <w:rFonts w:asciiTheme="majorHAnsi" w:hAnsiTheme="majorHAnsi"/>
          <w:b/>
          <w:sz w:val="28"/>
        </w:rPr>
        <w:t xml:space="preserve">Global </w:t>
      </w:r>
      <w:r w:rsidR="00421EBF" w:rsidRPr="000463CA">
        <w:rPr>
          <w:rFonts w:asciiTheme="majorHAnsi" w:hAnsiTheme="majorHAnsi"/>
          <w:b/>
          <w:sz w:val="28"/>
        </w:rPr>
        <w:t xml:space="preserve">Advertising Revenues </w:t>
      </w:r>
      <w:r w:rsidR="00550B2B" w:rsidRPr="00550B2B">
        <w:rPr>
          <w:rFonts w:asciiTheme="majorHAnsi" w:hAnsiTheme="majorHAnsi"/>
          <w:b/>
          <w:sz w:val="24"/>
        </w:rPr>
        <w:br/>
      </w:r>
      <w:r w:rsidR="00421EBF" w:rsidRPr="000463CA">
        <w:rPr>
          <w:rFonts w:asciiTheme="majorHAnsi" w:hAnsiTheme="majorHAnsi"/>
          <w:b/>
          <w:sz w:val="28"/>
        </w:rPr>
        <w:t xml:space="preserve">to </w:t>
      </w:r>
      <w:proofErr w:type="gramStart"/>
      <w:r w:rsidR="00421EBF" w:rsidRPr="000463CA">
        <w:rPr>
          <w:rFonts w:asciiTheme="majorHAnsi" w:hAnsiTheme="majorHAnsi"/>
          <w:b/>
          <w:sz w:val="28"/>
        </w:rPr>
        <w:t>Grow</w:t>
      </w:r>
      <w:proofErr w:type="gramEnd"/>
      <w:r w:rsidR="00A872CA" w:rsidRPr="000463CA">
        <w:rPr>
          <w:rFonts w:asciiTheme="majorHAnsi" w:hAnsiTheme="majorHAnsi"/>
          <w:b/>
          <w:sz w:val="28"/>
        </w:rPr>
        <w:t xml:space="preserve"> by </w:t>
      </w:r>
      <w:r w:rsidR="00134303" w:rsidRPr="000463CA">
        <w:rPr>
          <w:rFonts w:asciiTheme="majorHAnsi" w:hAnsiTheme="majorHAnsi"/>
          <w:b/>
          <w:sz w:val="28"/>
        </w:rPr>
        <w:t>+</w:t>
      </w:r>
      <w:r w:rsidR="00DA1CD4" w:rsidRPr="000463CA">
        <w:rPr>
          <w:rFonts w:asciiTheme="majorHAnsi" w:hAnsiTheme="majorHAnsi"/>
          <w:b/>
          <w:sz w:val="28"/>
        </w:rPr>
        <w:t>4.8</w:t>
      </w:r>
      <w:r w:rsidR="00421EBF" w:rsidRPr="000463CA">
        <w:rPr>
          <w:rFonts w:asciiTheme="majorHAnsi" w:hAnsiTheme="majorHAnsi"/>
          <w:b/>
          <w:sz w:val="28"/>
        </w:rPr>
        <w:t xml:space="preserve">% to </w:t>
      </w:r>
      <w:r w:rsidR="00DA1CD4" w:rsidRPr="000463CA">
        <w:rPr>
          <w:rFonts w:asciiTheme="majorHAnsi" w:hAnsiTheme="majorHAnsi"/>
          <w:b/>
          <w:sz w:val="28"/>
        </w:rPr>
        <w:t>$536</w:t>
      </w:r>
      <w:r w:rsidR="00421EBF" w:rsidRPr="000463CA">
        <w:rPr>
          <w:rFonts w:asciiTheme="majorHAnsi" w:hAnsiTheme="majorHAnsi"/>
          <w:b/>
          <w:sz w:val="28"/>
        </w:rPr>
        <w:t xml:space="preserve"> billion </w:t>
      </w:r>
      <w:r w:rsidR="00DA1CD4" w:rsidRPr="000463CA">
        <w:rPr>
          <w:rFonts w:asciiTheme="majorHAnsi" w:hAnsiTheme="majorHAnsi"/>
          <w:b/>
          <w:sz w:val="28"/>
        </w:rPr>
        <w:t>in 2015</w:t>
      </w:r>
    </w:p>
    <w:p w:rsidR="00F05F5E" w:rsidRPr="0018045F" w:rsidRDefault="00F05F5E" w:rsidP="00F05F5E">
      <w:pPr>
        <w:jc w:val="center"/>
        <w:rPr>
          <w:rFonts w:asciiTheme="majorHAnsi" w:hAnsiTheme="majorHAnsi"/>
          <w:b/>
        </w:rPr>
      </w:pPr>
      <w:r w:rsidRPr="0018045F">
        <w:rPr>
          <w:rFonts w:asciiTheme="majorHAnsi" w:hAnsiTheme="majorHAnsi"/>
          <w:b/>
        </w:rPr>
        <w:t>US, China and Russia Slow Down but Europe Recovers</w:t>
      </w:r>
    </w:p>
    <w:p w:rsidR="003D0913" w:rsidRPr="0018045F" w:rsidRDefault="00A872CA" w:rsidP="00421EBF">
      <w:pPr>
        <w:jc w:val="center"/>
        <w:rPr>
          <w:rFonts w:asciiTheme="majorHAnsi" w:hAnsiTheme="majorHAnsi"/>
          <w:b/>
        </w:rPr>
      </w:pPr>
      <w:r w:rsidRPr="0018045F">
        <w:rPr>
          <w:rFonts w:asciiTheme="majorHAnsi" w:hAnsiTheme="majorHAnsi"/>
          <w:b/>
        </w:rPr>
        <w:t>Digital Media</w:t>
      </w:r>
      <w:r w:rsidR="00550B2B">
        <w:rPr>
          <w:rFonts w:asciiTheme="majorHAnsi" w:hAnsiTheme="majorHAnsi"/>
          <w:b/>
        </w:rPr>
        <w:t xml:space="preserve"> </w:t>
      </w:r>
      <w:r w:rsidR="00F05F5E" w:rsidRPr="0018045F">
        <w:rPr>
          <w:rFonts w:asciiTheme="majorHAnsi" w:hAnsiTheme="majorHAnsi"/>
          <w:b/>
        </w:rPr>
        <w:t xml:space="preserve">will Reach </w:t>
      </w:r>
      <w:r w:rsidR="00DA1CD4" w:rsidRPr="0018045F">
        <w:rPr>
          <w:rFonts w:asciiTheme="majorHAnsi" w:hAnsiTheme="majorHAnsi"/>
          <w:b/>
        </w:rPr>
        <w:t>30</w:t>
      </w:r>
      <w:r w:rsidR="00951AC3" w:rsidRPr="0018045F">
        <w:rPr>
          <w:rFonts w:asciiTheme="majorHAnsi" w:hAnsiTheme="majorHAnsi"/>
          <w:b/>
        </w:rPr>
        <w:t xml:space="preserve">% </w:t>
      </w:r>
      <w:r w:rsidR="003D0913" w:rsidRPr="0018045F">
        <w:rPr>
          <w:rFonts w:asciiTheme="majorHAnsi" w:hAnsiTheme="majorHAnsi"/>
          <w:b/>
        </w:rPr>
        <w:t>Market Share</w:t>
      </w:r>
    </w:p>
    <w:p w:rsidR="00B32A90" w:rsidRDefault="00B32A90" w:rsidP="00B32A90">
      <w:pPr>
        <w:pStyle w:val="Heading1"/>
      </w:pPr>
      <w:r w:rsidRPr="007F2882">
        <w:t>Top Stories</w:t>
      </w:r>
    </w:p>
    <w:p w:rsidR="0072375E" w:rsidRPr="004C33FE" w:rsidRDefault="00A872CA" w:rsidP="00F0459C">
      <w:pPr>
        <w:pStyle w:val="ListParagraph"/>
        <w:numPr>
          <w:ilvl w:val="0"/>
          <w:numId w:val="7"/>
        </w:numPr>
        <w:spacing w:before="0" w:after="60"/>
        <w:contextualSpacing w:val="0"/>
        <w:rPr>
          <w:rFonts w:asciiTheme="majorHAnsi" w:hAnsiTheme="majorHAnsi"/>
          <w:sz w:val="18"/>
        </w:rPr>
      </w:pPr>
      <w:r w:rsidRPr="004C33FE">
        <w:rPr>
          <w:rFonts w:asciiTheme="majorHAnsi" w:hAnsiTheme="majorHAnsi"/>
          <w:sz w:val="18"/>
        </w:rPr>
        <w:t xml:space="preserve">Globally, media owner advertising revenues are forecast to grow by </w:t>
      </w:r>
      <w:r w:rsidR="00887CAC" w:rsidRPr="004C33FE">
        <w:rPr>
          <w:rFonts w:asciiTheme="majorHAnsi" w:hAnsiTheme="majorHAnsi"/>
          <w:b/>
          <w:sz w:val="18"/>
        </w:rPr>
        <w:t>+</w:t>
      </w:r>
      <w:r w:rsidR="00913A3D" w:rsidRPr="004C33FE">
        <w:rPr>
          <w:rFonts w:asciiTheme="majorHAnsi" w:hAnsiTheme="majorHAnsi"/>
          <w:b/>
          <w:sz w:val="18"/>
        </w:rPr>
        <w:t>4.8</w:t>
      </w:r>
      <w:r w:rsidRPr="004C33FE">
        <w:rPr>
          <w:rFonts w:asciiTheme="majorHAnsi" w:hAnsiTheme="majorHAnsi"/>
          <w:b/>
          <w:sz w:val="18"/>
        </w:rPr>
        <w:t>%</w:t>
      </w:r>
      <w:r w:rsidRPr="004C33FE">
        <w:rPr>
          <w:rFonts w:asciiTheme="majorHAnsi" w:hAnsiTheme="majorHAnsi"/>
          <w:sz w:val="18"/>
        </w:rPr>
        <w:t xml:space="preserve"> in 201</w:t>
      </w:r>
      <w:r w:rsidR="00913A3D" w:rsidRPr="004C33FE">
        <w:rPr>
          <w:rFonts w:asciiTheme="majorHAnsi" w:hAnsiTheme="majorHAnsi"/>
          <w:sz w:val="18"/>
        </w:rPr>
        <w:t>5</w:t>
      </w:r>
      <w:r w:rsidRPr="004C33FE">
        <w:rPr>
          <w:rFonts w:asciiTheme="majorHAnsi" w:hAnsiTheme="majorHAnsi"/>
          <w:sz w:val="18"/>
        </w:rPr>
        <w:t xml:space="preserve"> to </w:t>
      </w:r>
      <w:r w:rsidRPr="004C33FE">
        <w:rPr>
          <w:rFonts w:asciiTheme="majorHAnsi" w:hAnsiTheme="majorHAnsi"/>
          <w:b/>
          <w:sz w:val="18"/>
        </w:rPr>
        <w:t>$</w:t>
      </w:r>
      <w:r w:rsidR="009E121E" w:rsidRPr="004C33FE">
        <w:rPr>
          <w:rFonts w:asciiTheme="majorHAnsi" w:hAnsiTheme="majorHAnsi"/>
          <w:b/>
          <w:sz w:val="18"/>
        </w:rPr>
        <w:t>5</w:t>
      </w:r>
      <w:r w:rsidR="00134303">
        <w:rPr>
          <w:rFonts w:asciiTheme="majorHAnsi" w:hAnsiTheme="majorHAnsi"/>
          <w:b/>
          <w:sz w:val="18"/>
        </w:rPr>
        <w:t>36</w:t>
      </w:r>
      <w:r w:rsidRPr="004C33FE">
        <w:rPr>
          <w:rFonts w:asciiTheme="majorHAnsi" w:hAnsiTheme="majorHAnsi"/>
          <w:b/>
          <w:sz w:val="18"/>
        </w:rPr>
        <w:t xml:space="preserve"> billion</w:t>
      </w:r>
      <w:r w:rsidRPr="004C33FE">
        <w:rPr>
          <w:rFonts w:asciiTheme="majorHAnsi" w:hAnsiTheme="majorHAnsi"/>
          <w:sz w:val="18"/>
        </w:rPr>
        <w:t xml:space="preserve">. </w:t>
      </w:r>
      <w:r w:rsidR="000D580B" w:rsidRPr="004C33FE">
        <w:rPr>
          <w:rFonts w:asciiTheme="majorHAnsi" w:hAnsiTheme="majorHAnsi"/>
          <w:sz w:val="18"/>
        </w:rPr>
        <w:t xml:space="preserve">The new growth forecast </w:t>
      </w:r>
      <w:r w:rsidRPr="004C33FE">
        <w:rPr>
          <w:rFonts w:asciiTheme="majorHAnsi" w:hAnsiTheme="majorHAnsi"/>
          <w:sz w:val="18"/>
        </w:rPr>
        <w:t>is in line with our previous forecast (+</w:t>
      </w:r>
      <w:r w:rsidR="00FD760B" w:rsidRPr="004C33FE">
        <w:rPr>
          <w:rFonts w:asciiTheme="majorHAnsi" w:hAnsiTheme="majorHAnsi"/>
          <w:sz w:val="18"/>
        </w:rPr>
        <w:t>4.9</w:t>
      </w:r>
      <w:r w:rsidRPr="004C33FE">
        <w:rPr>
          <w:rFonts w:asciiTheme="majorHAnsi" w:hAnsiTheme="majorHAnsi"/>
          <w:sz w:val="18"/>
        </w:rPr>
        <w:t xml:space="preserve">% in </w:t>
      </w:r>
      <w:r w:rsidR="00FD760B" w:rsidRPr="004C33FE">
        <w:rPr>
          <w:rFonts w:asciiTheme="majorHAnsi" w:hAnsiTheme="majorHAnsi"/>
          <w:sz w:val="18"/>
        </w:rPr>
        <w:t>June</w:t>
      </w:r>
      <w:r w:rsidR="00134303">
        <w:rPr>
          <w:rFonts w:asciiTheme="majorHAnsi" w:hAnsiTheme="majorHAnsi"/>
          <w:sz w:val="18"/>
        </w:rPr>
        <w:t xml:space="preserve"> 2014</w:t>
      </w:r>
      <w:r w:rsidRPr="004C33FE">
        <w:rPr>
          <w:rFonts w:asciiTheme="majorHAnsi" w:hAnsiTheme="majorHAnsi"/>
          <w:sz w:val="18"/>
        </w:rPr>
        <w:t>) and represents</w:t>
      </w:r>
      <w:r w:rsidR="000D580B" w:rsidRPr="004C33FE">
        <w:rPr>
          <w:rFonts w:asciiTheme="majorHAnsi" w:hAnsiTheme="majorHAnsi"/>
          <w:sz w:val="18"/>
        </w:rPr>
        <w:t xml:space="preserve"> a </w:t>
      </w:r>
      <w:r w:rsidR="00F169AC" w:rsidRPr="004C33FE">
        <w:rPr>
          <w:rFonts w:asciiTheme="majorHAnsi" w:hAnsiTheme="majorHAnsi"/>
          <w:sz w:val="18"/>
        </w:rPr>
        <w:t>deceleration from 2014</w:t>
      </w:r>
      <w:r w:rsidR="001E2C5E" w:rsidRPr="004C33FE">
        <w:rPr>
          <w:rFonts w:asciiTheme="majorHAnsi" w:hAnsiTheme="majorHAnsi"/>
          <w:sz w:val="18"/>
        </w:rPr>
        <w:t xml:space="preserve"> (+</w:t>
      </w:r>
      <w:r w:rsidR="00F169AC" w:rsidRPr="004C33FE">
        <w:rPr>
          <w:rFonts w:asciiTheme="majorHAnsi" w:hAnsiTheme="majorHAnsi"/>
          <w:sz w:val="18"/>
        </w:rPr>
        <w:t>5.5</w:t>
      </w:r>
      <w:r w:rsidRPr="004C33FE">
        <w:rPr>
          <w:rFonts w:asciiTheme="majorHAnsi" w:hAnsiTheme="majorHAnsi"/>
          <w:sz w:val="18"/>
        </w:rPr>
        <w:t xml:space="preserve">%). </w:t>
      </w:r>
    </w:p>
    <w:p w:rsidR="00F169AC" w:rsidRPr="004C33FE" w:rsidRDefault="00F169AC" w:rsidP="00F0459C">
      <w:pPr>
        <w:pStyle w:val="ListParagraph"/>
        <w:numPr>
          <w:ilvl w:val="0"/>
          <w:numId w:val="7"/>
        </w:numPr>
        <w:spacing w:before="0" w:after="60"/>
        <w:contextualSpacing w:val="0"/>
        <w:rPr>
          <w:rFonts w:asciiTheme="majorHAnsi" w:hAnsiTheme="majorHAnsi"/>
          <w:sz w:val="18"/>
        </w:rPr>
      </w:pPr>
      <w:r w:rsidRPr="004C33FE">
        <w:rPr>
          <w:rFonts w:asciiTheme="majorHAnsi" w:hAnsiTheme="majorHAnsi"/>
          <w:sz w:val="18"/>
        </w:rPr>
        <w:t>The stronger economic environment expected for next year</w:t>
      </w:r>
      <w:r w:rsidR="00A872CA" w:rsidRPr="004C33FE">
        <w:rPr>
          <w:rFonts w:asciiTheme="majorHAnsi" w:hAnsiTheme="majorHAnsi"/>
          <w:sz w:val="18"/>
        </w:rPr>
        <w:t xml:space="preserve"> (</w:t>
      </w:r>
      <w:r w:rsidR="009725B2" w:rsidRPr="004C33FE">
        <w:rPr>
          <w:rFonts w:asciiTheme="majorHAnsi" w:hAnsiTheme="majorHAnsi"/>
          <w:sz w:val="18"/>
        </w:rPr>
        <w:t>+</w:t>
      </w:r>
      <w:r w:rsidRPr="004C33FE">
        <w:rPr>
          <w:rFonts w:asciiTheme="majorHAnsi" w:hAnsiTheme="majorHAnsi"/>
          <w:sz w:val="18"/>
        </w:rPr>
        <w:t>3.8</w:t>
      </w:r>
      <w:r w:rsidR="009725B2" w:rsidRPr="004C33FE">
        <w:rPr>
          <w:rFonts w:asciiTheme="majorHAnsi" w:hAnsiTheme="majorHAnsi"/>
          <w:sz w:val="18"/>
        </w:rPr>
        <w:t>%</w:t>
      </w:r>
      <w:r w:rsidRPr="004C33FE">
        <w:rPr>
          <w:rFonts w:asciiTheme="majorHAnsi" w:hAnsiTheme="majorHAnsi"/>
          <w:sz w:val="18"/>
        </w:rPr>
        <w:t xml:space="preserve"> for real GDP compared to +3.3</w:t>
      </w:r>
      <w:r w:rsidR="00A872CA" w:rsidRPr="004C33FE">
        <w:rPr>
          <w:rFonts w:asciiTheme="majorHAnsi" w:hAnsiTheme="majorHAnsi"/>
          <w:sz w:val="18"/>
        </w:rPr>
        <w:t xml:space="preserve">% </w:t>
      </w:r>
      <w:r w:rsidRPr="004C33FE">
        <w:rPr>
          <w:rFonts w:asciiTheme="majorHAnsi" w:hAnsiTheme="majorHAnsi"/>
          <w:sz w:val="18"/>
        </w:rPr>
        <w:t>in 2014</w:t>
      </w:r>
      <w:r w:rsidR="00A872CA" w:rsidRPr="004C33FE">
        <w:rPr>
          <w:rFonts w:asciiTheme="majorHAnsi" w:hAnsiTheme="majorHAnsi"/>
          <w:sz w:val="18"/>
        </w:rPr>
        <w:t xml:space="preserve">) </w:t>
      </w:r>
      <w:r w:rsidRPr="004C33FE">
        <w:rPr>
          <w:rFonts w:asciiTheme="majorHAnsi" w:hAnsiTheme="majorHAnsi"/>
          <w:sz w:val="18"/>
        </w:rPr>
        <w:t xml:space="preserve">will not </w:t>
      </w:r>
      <w:r w:rsidR="00A872CA" w:rsidRPr="004C33FE">
        <w:rPr>
          <w:rFonts w:asciiTheme="majorHAnsi" w:hAnsiTheme="majorHAnsi"/>
          <w:sz w:val="18"/>
        </w:rPr>
        <w:t xml:space="preserve"> </w:t>
      </w:r>
      <w:r w:rsidRPr="004C33FE">
        <w:rPr>
          <w:rFonts w:asciiTheme="majorHAnsi" w:hAnsiTheme="majorHAnsi"/>
          <w:sz w:val="18"/>
        </w:rPr>
        <w:t xml:space="preserve">quite offset the negative impact caused by the absence of non-recurring </w:t>
      </w:r>
      <w:r w:rsidR="00A872CA" w:rsidRPr="004C33FE">
        <w:rPr>
          <w:rFonts w:asciiTheme="majorHAnsi" w:hAnsiTheme="majorHAnsi"/>
          <w:sz w:val="18"/>
        </w:rPr>
        <w:t>drivers</w:t>
      </w:r>
      <w:r w:rsidRPr="004C33FE">
        <w:rPr>
          <w:rFonts w:asciiTheme="majorHAnsi" w:hAnsiTheme="majorHAnsi"/>
          <w:sz w:val="18"/>
        </w:rPr>
        <w:t xml:space="preserve"> like Winter Olympics, </w:t>
      </w:r>
      <w:r w:rsidR="00134303">
        <w:rPr>
          <w:rFonts w:asciiTheme="majorHAnsi" w:hAnsiTheme="majorHAnsi"/>
          <w:sz w:val="18"/>
        </w:rPr>
        <w:t>FIFA</w:t>
      </w:r>
      <w:r w:rsidRPr="004C33FE">
        <w:rPr>
          <w:rFonts w:asciiTheme="majorHAnsi" w:hAnsiTheme="majorHAnsi"/>
          <w:sz w:val="18"/>
        </w:rPr>
        <w:t xml:space="preserve"> World Cup or the</w:t>
      </w:r>
      <w:r w:rsidR="00A872CA" w:rsidRPr="004C33FE">
        <w:rPr>
          <w:rFonts w:asciiTheme="majorHAnsi" w:hAnsiTheme="majorHAnsi"/>
          <w:sz w:val="18"/>
        </w:rPr>
        <w:t xml:space="preserve"> US mid-term elections</w:t>
      </w:r>
      <w:r w:rsidRPr="004C33FE">
        <w:rPr>
          <w:rFonts w:asciiTheme="majorHAnsi" w:hAnsiTheme="majorHAnsi"/>
          <w:sz w:val="18"/>
        </w:rPr>
        <w:t xml:space="preserve"> this year. We believe these events generated one extra point of advertising growth in 2014.</w:t>
      </w:r>
    </w:p>
    <w:p w:rsidR="0072375E" w:rsidRPr="004C33FE" w:rsidRDefault="00887CAC" w:rsidP="00F0459C">
      <w:pPr>
        <w:pStyle w:val="ListParagraph"/>
        <w:numPr>
          <w:ilvl w:val="0"/>
          <w:numId w:val="7"/>
        </w:numPr>
        <w:spacing w:before="0" w:after="60"/>
        <w:contextualSpacing w:val="0"/>
        <w:rPr>
          <w:rFonts w:asciiTheme="majorHAnsi" w:hAnsiTheme="majorHAnsi"/>
          <w:sz w:val="18"/>
        </w:rPr>
      </w:pPr>
      <w:r w:rsidRPr="004C33FE">
        <w:rPr>
          <w:rFonts w:asciiTheme="majorHAnsi" w:hAnsiTheme="majorHAnsi"/>
          <w:sz w:val="18"/>
        </w:rPr>
        <w:t>Despite</w:t>
      </w:r>
      <w:r w:rsidR="0072375E" w:rsidRPr="004C33FE">
        <w:rPr>
          <w:rFonts w:asciiTheme="majorHAnsi" w:hAnsiTheme="majorHAnsi"/>
          <w:sz w:val="18"/>
        </w:rPr>
        <w:t xml:space="preserve"> the stability of our </w:t>
      </w:r>
      <w:r w:rsidRPr="004C33FE">
        <w:rPr>
          <w:rFonts w:asciiTheme="majorHAnsi" w:hAnsiTheme="majorHAnsi"/>
          <w:sz w:val="18"/>
        </w:rPr>
        <w:t>top-line growth</w:t>
      </w:r>
      <w:r w:rsidR="0072375E" w:rsidRPr="004C33FE">
        <w:rPr>
          <w:rFonts w:asciiTheme="majorHAnsi" w:hAnsiTheme="majorHAnsi"/>
          <w:sz w:val="18"/>
        </w:rPr>
        <w:t xml:space="preserve"> forecast</w:t>
      </w:r>
      <w:r w:rsidR="00134303">
        <w:rPr>
          <w:rFonts w:asciiTheme="majorHAnsi" w:hAnsiTheme="majorHAnsi"/>
          <w:sz w:val="18"/>
        </w:rPr>
        <w:t xml:space="preserve"> for 2015</w:t>
      </w:r>
      <w:r w:rsidR="0072375E" w:rsidRPr="004C33FE">
        <w:rPr>
          <w:rFonts w:asciiTheme="majorHAnsi" w:hAnsiTheme="majorHAnsi"/>
          <w:sz w:val="18"/>
        </w:rPr>
        <w:t xml:space="preserve">, </w:t>
      </w:r>
      <w:r w:rsidR="0072375E" w:rsidRPr="004C33FE">
        <w:rPr>
          <w:rFonts w:asciiTheme="majorHAnsi" w:hAnsiTheme="majorHAnsi"/>
          <w:b/>
          <w:sz w:val="18"/>
        </w:rPr>
        <w:t>significant revision</w:t>
      </w:r>
      <w:r w:rsidR="000D580B" w:rsidRPr="004C33FE">
        <w:rPr>
          <w:rFonts w:asciiTheme="majorHAnsi" w:hAnsiTheme="majorHAnsi"/>
          <w:b/>
          <w:sz w:val="18"/>
        </w:rPr>
        <w:t>s</w:t>
      </w:r>
      <w:r w:rsidR="0072375E" w:rsidRPr="004C33FE">
        <w:rPr>
          <w:rFonts w:asciiTheme="majorHAnsi" w:hAnsiTheme="majorHAnsi"/>
          <w:b/>
          <w:sz w:val="18"/>
        </w:rPr>
        <w:t xml:space="preserve"> have been made on a country-by-country basis</w:t>
      </w:r>
      <w:r w:rsidR="000D580B" w:rsidRPr="004C33FE">
        <w:rPr>
          <w:rFonts w:asciiTheme="majorHAnsi" w:hAnsiTheme="majorHAnsi"/>
          <w:sz w:val="18"/>
        </w:rPr>
        <w:t xml:space="preserve">. </w:t>
      </w:r>
      <w:r w:rsidR="00F10BF2">
        <w:rPr>
          <w:rFonts w:asciiTheme="majorHAnsi" w:hAnsiTheme="majorHAnsi"/>
          <w:sz w:val="18"/>
        </w:rPr>
        <w:t>On the up</w:t>
      </w:r>
      <w:r w:rsidR="00AA5AFE" w:rsidRPr="004C33FE">
        <w:rPr>
          <w:rFonts w:asciiTheme="majorHAnsi" w:hAnsiTheme="majorHAnsi"/>
          <w:sz w:val="18"/>
        </w:rPr>
        <w:t>side</w:t>
      </w:r>
      <w:r w:rsidR="00134303">
        <w:rPr>
          <w:rFonts w:asciiTheme="majorHAnsi" w:hAnsiTheme="majorHAnsi"/>
          <w:sz w:val="18"/>
        </w:rPr>
        <w:t>,</w:t>
      </w:r>
      <w:r w:rsidR="00F169AC" w:rsidRPr="004C33FE">
        <w:rPr>
          <w:rFonts w:asciiTheme="majorHAnsi" w:hAnsiTheme="majorHAnsi"/>
          <w:sz w:val="18"/>
        </w:rPr>
        <w:t xml:space="preserve"> Australia</w:t>
      </w:r>
      <w:r w:rsidR="00E93FDC" w:rsidRPr="004C33FE">
        <w:rPr>
          <w:rFonts w:asciiTheme="majorHAnsi" w:hAnsiTheme="majorHAnsi"/>
          <w:sz w:val="18"/>
        </w:rPr>
        <w:t xml:space="preserve">, </w:t>
      </w:r>
      <w:r w:rsidR="00134303">
        <w:rPr>
          <w:rFonts w:asciiTheme="majorHAnsi" w:hAnsiTheme="majorHAnsi"/>
          <w:sz w:val="18"/>
        </w:rPr>
        <w:t>India,</w:t>
      </w:r>
      <w:r w:rsidR="00AA5AFE" w:rsidRPr="004C33FE">
        <w:rPr>
          <w:rFonts w:asciiTheme="majorHAnsi" w:hAnsiTheme="majorHAnsi"/>
          <w:sz w:val="18"/>
        </w:rPr>
        <w:t xml:space="preserve"> </w:t>
      </w:r>
      <w:r w:rsidR="00F169AC" w:rsidRPr="004C33FE">
        <w:rPr>
          <w:rFonts w:asciiTheme="majorHAnsi" w:hAnsiTheme="majorHAnsi"/>
          <w:sz w:val="18"/>
        </w:rPr>
        <w:t>Japan, Spain</w:t>
      </w:r>
      <w:r w:rsidR="00134303">
        <w:rPr>
          <w:rFonts w:asciiTheme="majorHAnsi" w:hAnsiTheme="majorHAnsi"/>
          <w:sz w:val="18"/>
        </w:rPr>
        <w:t xml:space="preserve"> and the</w:t>
      </w:r>
      <w:r w:rsidR="00F169AC" w:rsidRPr="004C33FE">
        <w:rPr>
          <w:rFonts w:asciiTheme="majorHAnsi" w:hAnsiTheme="majorHAnsi"/>
          <w:sz w:val="18"/>
        </w:rPr>
        <w:t xml:space="preserve"> </w:t>
      </w:r>
      <w:r w:rsidR="0072375E" w:rsidRPr="004C33FE">
        <w:rPr>
          <w:rFonts w:asciiTheme="majorHAnsi" w:hAnsiTheme="majorHAnsi"/>
          <w:sz w:val="18"/>
        </w:rPr>
        <w:t>UK</w:t>
      </w:r>
      <w:r w:rsidRPr="004C33FE">
        <w:rPr>
          <w:rFonts w:asciiTheme="majorHAnsi" w:hAnsiTheme="majorHAnsi"/>
          <w:sz w:val="18"/>
        </w:rPr>
        <w:t xml:space="preserve"> </w:t>
      </w:r>
      <w:r w:rsidR="00F30AC0" w:rsidRPr="004C33FE">
        <w:rPr>
          <w:rFonts w:asciiTheme="majorHAnsi" w:hAnsiTheme="majorHAnsi"/>
          <w:sz w:val="18"/>
        </w:rPr>
        <w:t xml:space="preserve">will grow faster than previously </w:t>
      </w:r>
      <w:r w:rsidR="00134303">
        <w:rPr>
          <w:rFonts w:asciiTheme="majorHAnsi" w:hAnsiTheme="majorHAnsi"/>
          <w:sz w:val="18"/>
        </w:rPr>
        <w:t>forecast</w:t>
      </w:r>
      <w:r w:rsidR="00F30AC0" w:rsidRPr="004C33FE">
        <w:rPr>
          <w:rFonts w:asciiTheme="majorHAnsi" w:hAnsiTheme="majorHAnsi"/>
          <w:sz w:val="18"/>
        </w:rPr>
        <w:t xml:space="preserve">. </w:t>
      </w:r>
      <w:r w:rsidR="000D580B" w:rsidRPr="004C33FE">
        <w:rPr>
          <w:rFonts w:asciiTheme="majorHAnsi" w:hAnsiTheme="majorHAnsi"/>
          <w:sz w:val="18"/>
        </w:rPr>
        <w:t>China</w:t>
      </w:r>
      <w:r w:rsidR="00F30AC0" w:rsidRPr="004C33FE">
        <w:rPr>
          <w:rFonts w:asciiTheme="majorHAnsi" w:hAnsiTheme="majorHAnsi"/>
          <w:sz w:val="18"/>
        </w:rPr>
        <w:t xml:space="preserve">, </w:t>
      </w:r>
      <w:r w:rsidR="000D580B" w:rsidRPr="004C33FE">
        <w:rPr>
          <w:rFonts w:asciiTheme="majorHAnsi" w:hAnsiTheme="majorHAnsi"/>
          <w:sz w:val="18"/>
        </w:rPr>
        <w:t>Russia</w:t>
      </w:r>
      <w:r w:rsidR="00F30AC0" w:rsidRPr="004C33FE">
        <w:rPr>
          <w:rFonts w:asciiTheme="majorHAnsi" w:hAnsiTheme="majorHAnsi"/>
          <w:sz w:val="18"/>
        </w:rPr>
        <w:t xml:space="preserve">, </w:t>
      </w:r>
      <w:r w:rsidR="000D580B" w:rsidRPr="004C33FE">
        <w:rPr>
          <w:rFonts w:asciiTheme="majorHAnsi" w:hAnsiTheme="majorHAnsi"/>
          <w:sz w:val="18"/>
        </w:rPr>
        <w:t>Germany</w:t>
      </w:r>
      <w:r w:rsidR="00F30AC0" w:rsidRPr="004C33FE">
        <w:rPr>
          <w:rFonts w:asciiTheme="majorHAnsi" w:hAnsiTheme="majorHAnsi"/>
          <w:sz w:val="18"/>
        </w:rPr>
        <w:t xml:space="preserve">, </w:t>
      </w:r>
      <w:r w:rsidR="00F169AC" w:rsidRPr="004C33FE">
        <w:rPr>
          <w:rFonts w:asciiTheme="majorHAnsi" w:hAnsiTheme="majorHAnsi"/>
          <w:sz w:val="18"/>
        </w:rPr>
        <w:t xml:space="preserve">Brazil and Canada </w:t>
      </w:r>
      <w:r w:rsidR="00F30AC0" w:rsidRPr="004C33FE">
        <w:rPr>
          <w:rFonts w:asciiTheme="majorHAnsi" w:hAnsiTheme="majorHAnsi"/>
          <w:sz w:val="18"/>
        </w:rPr>
        <w:t xml:space="preserve">will grow </w:t>
      </w:r>
      <w:r w:rsidRPr="004C33FE">
        <w:rPr>
          <w:rFonts w:asciiTheme="majorHAnsi" w:hAnsiTheme="majorHAnsi"/>
          <w:sz w:val="18"/>
        </w:rPr>
        <w:t>as well</w:t>
      </w:r>
      <w:r w:rsidR="00F30AC0" w:rsidRPr="004C33FE">
        <w:rPr>
          <w:rFonts w:asciiTheme="majorHAnsi" w:hAnsiTheme="majorHAnsi"/>
          <w:sz w:val="18"/>
        </w:rPr>
        <w:t>, but at a lower rate than previously expected.</w:t>
      </w:r>
    </w:p>
    <w:p w:rsidR="00D629C0" w:rsidRPr="004C33FE" w:rsidRDefault="000F6DFD" w:rsidP="00F0459C">
      <w:pPr>
        <w:pStyle w:val="ListParagraph"/>
        <w:numPr>
          <w:ilvl w:val="0"/>
          <w:numId w:val="7"/>
        </w:numPr>
        <w:spacing w:before="0" w:after="60"/>
        <w:contextualSpacing w:val="0"/>
        <w:rPr>
          <w:rFonts w:asciiTheme="majorHAnsi" w:hAnsiTheme="majorHAnsi"/>
          <w:sz w:val="18"/>
        </w:rPr>
      </w:pPr>
      <w:r w:rsidRPr="004C33FE">
        <w:rPr>
          <w:rFonts w:asciiTheme="majorHAnsi" w:hAnsiTheme="majorHAnsi"/>
          <w:b/>
          <w:sz w:val="18"/>
        </w:rPr>
        <w:t>In the US</w:t>
      </w:r>
      <w:r w:rsidRPr="004C33FE">
        <w:rPr>
          <w:rFonts w:asciiTheme="majorHAnsi" w:hAnsiTheme="majorHAnsi"/>
          <w:sz w:val="18"/>
        </w:rPr>
        <w:t xml:space="preserve">, </w:t>
      </w:r>
      <w:r w:rsidR="00311A96" w:rsidRPr="004C33FE">
        <w:rPr>
          <w:rFonts w:asciiTheme="majorHAnsi" w:hAnsiTheme="majorHAnsi"/>
          <w:sz w:val="18"/>
        </w:rPr>
        <w:t>media</w:t>
      </w:r>
      <w:r w:rsidR="00D629C0" w:rsidRPr="004C33FE">
        <w:rPr>
          <w:rFonts w:asciiTheme="majorHAnsi" w:hAnsiTheme="majorHAnsi"/>
          <w:sz w:val="18"/>
        </w:rPr>
        <w:t xml:space="preserve"> owners advertising revenues </w:t>
      </w:r>
      <w:r w:rsidR="00311A96" w:rsidRPr="004C33FE">
        <w:rPr>
          <w:rFonts w:asciiTheme="majorHAnsi" w:hAnsiTheme="majorHAnsi"/>
          <w:sz w:val="18"/>
        </w:rPr>
        <w:t>gr</w:t>
      </w:r>
      <w:r w:rsidR="00D629C0" w:rsidRPr="004C33FE">
        <w:rPr>
          <w:rFonts w:asciiTheme="majorHAnsi" w:hAnsiTheme="majorHAnsi"/>
          <w:sz w:val="18"/>
        </w:rPr>
        <w:t>e</w:t>
      </w:r>
      <w:r w:rsidR="00311A96" w:rsidRPr="004C33FE">
        <w:rPr>
          <w:rFonts w:asciiTheme="majorHAnsi" w:hAnsiTheme="majorHAnsi"/>
          <w:sz w:val="18"/>
        </w:rPr>
        <w:t xml:space="preserve">w by </w:t>
      </w:r>
      <w:r w:rsidR="00F10BF2">
        <w:rPr>
          <w:rFonts w:asciiTheme="majorHAnsi" w:hAnsiTheme="majorHAnsi"/>
          <w:sz w:val="18"/>
        </w:rPr>
        <w:t>+</w:t>
      </w:r>
      <w:r w:rsidR="00D629C0" w:rsidRPr="004C33FE">
        <w:rPr>
          <w:rFonts w:asciiTheme="majorHAnsi" w:hAnsiTheme="majorHAnsi"/>
          <w:sz w:val="18"/>
        </w:rPr>
        <w:t>4.0</w:t>
      </w:r>
      <w:r w:rsidR="00311A96" w:rsidRPr="004C33FE">
        <w:rPr>
          <w:rFonts w:asciiTheme="majorHAnsi" w:hAnsiTheme="majorHAnsi"/>
          <w:sz w:val="18"/>
        </w:rPr>
        <w:t>% this year</w:t>
      </w:r>
      <w:r w:rsidR="00541918" w:rsidRPr="004C33FE">
        <w:rPr>
          <w:rFonts w:asciiTheme="majorHAnsi" w:hAnsiTheme="majorHAnsi"/>
          <w:sz w:val="18"/>
        </w:rPr>
        <w:t xml:space="preserve"> to </w:t>
      </w:r>
      <w:r w:rsidR="00541918" w:rsidRPr="004C33FE">
        <w:rPr>
          <w:rFonts w:asciiTheme="majorHAnsi" w:hAnsiTheme="majorHAnsi"/>
          <w:b/>
          <w:sz w:val="18"/>
        </w:rPr>
        <w:t>$16</w:t>
      </w:r>
      <w:r w:rsidR="00D629C0" w:rsidRPr="004C33FE">
        <w:rPr>
          <w:rFonts w:asciiTheme="majorHAnsi" w:hAnsiTheme="majorHAnsi"/>
          <w:b/>
          <w:sz w:val="18"/>
        </w:rPr>
        <w:t>5</w:t>
      </w:r>
      <w:r w:rsidR="00134303">
        <w:rPr>
          <w:rFonts w:asciiTheme="majorHAnsi" w:hAnsiTheme="majorHAnsi"/>
          <w:b/>
          <w:sz w:val="18"/>
        </w:rPr>
        <w:t xml:space="preserve"> </w:t>
      </w:r>
      <w:r w:rsidR="00541918" w:rsidRPr="004C33FE">
        <w:rPr>
          <w:rFonts w:asciiTheme="majorHAnsi" w:hAnsiTheme="majorHAnsi"/>
          <w:b/>
          <w:sz w:val="18"/>
        </w:rPr>
        <w:t>b</w:t>
      </w:r>
      <w:r w:rsidR="00134303">
        <w:rPr>
          <w:rFonts w:asciiTheme="majorHAnsi" w:hAnsiTheme="majorHAnsi"/>
          <w:b/>
          <w:sz w:val="18"/>
        </w:rPr>
        <w:t>illio</w:t>
      </w:r>
      <w:r w:rsidR="00541918" w:rsidRPr="004C33FE">
        <w:rPr>
          <w:rFonts w:asciiTheme="majorHAnsi" w:hAnsiTheme="majorHAnsi"/>
          <w:b/>
          <w:sz w:val="18"/>
        </w:rPr>
        <w:t>n</w:t>
      </w:r>
      <w:r w:rsidR="00887CAC" w:rsidRPr="004C33FE">
        <w:rPr>
          <w:rFonts w:asciiTheme="majorHAnsi" w:hAnsiTheme="majorHAnsi"/>
          <w:sz w:val="18"/>
        </w:rPr>
        <w:t xml:space="preserve"> – an acceler</w:t>
      </w:r>
      <w:r w:rsidR="00D629C0" w:rsidRPr="004C33FE">
        <w:rPr>
          <w:rFonts w:asciiTheme="majorHAnsi" w:hAnsiTheme="majorHAnsi"/>
          <w:sz w:val="18"/>
        </w:rPr>
        <w:t>ation compared to 2013 (+2.4%) but below o</w:t>
      </w:r>
      <w:r w:rsidR="00F10BF2">
        <w:rPr>
          <w:rFonts w:asciiTheme="majorHAnsi" w:hAnsiTheme="majorHAnsi"/>
          <w:sz w:val="18"/>
        </w:rPr>
        <w:t>ur previous expectations. F</w:t>
      </w:r>
      <w:r w:rsidR="00D629C0" w:rsidRPr="004C33FE">
        <w:rPr>
          <w:rFonts w:asciiTheme="majorHAnsi" w:hAnsiTheme="majorHAnsi"/>
          <w:sz w:val="18"/>
        </w:rPr>
        <w:t xml:space="preserve">actoring in the </w:t>
      </w:r>
      <w:r w:rsidR="00A4211F">
        <w:rPr>
          <w:rFonts w:asciiTheme="majorHAnsi" w:hAnsiTheme="majorHAnsi"/>
          <w:sz w:val="18"/>
        </w:rPr>
        <w:t xml:space="preserve">positive </w:t>
      </w:r>
      <w:r w:rsidR="00D629C0" w:rsidRPr="004C33FE">
        <w:rPr>
          <w:rFonts w:asciiTheme="majorHAnsi" w:hAnsiTheme="majorHAnsi"/>
          <w:sz w:val="18"/>
        </w:rPr>
        <w:t xml:space="preserve">impact of non-recurring events in </w:t>
      </w:r>
      <w:r w:rsidR="00134303">
        <w:rPr>
          <w:rFonts w:asciiTheme="majorHAnsi" w:hAnsiTheme="majorHAnsi"/>
          <w:sz w:val="18"/>
        </w:rPr>
        <w:t xml:space="preserve">2014, which </w:t>
      </w:r>
      <w:r w:rsidR="00D67F7C" w:rsidRPr="004C33FE">
        <w:rPr>
          <w:rFonts w:asciiTheme="majorHAnsi" w:hAnsiTheme="majorHAnsi"/>
          <w:sz w:val="18"/>
        </w:rPr>
        <w:t xml:space="preserve">accounted for approximately 1.5% of the </w:t>
      </w:r>
      <w:r w:rsidR="00A4211F">
        <w:rPr>
          <w:rFonts w:asciiTheme="majorHAnsi" w:hAnsiTheme="majorHAnsi"/>
          <w:sz w:val="18"/>
        </w:rPr>
        <w:t xml:space="preserve">total </w:t>
      </w:r>
      <w:r w:rsidR="00D67F7C" w:rsidRPr="004C33FE">
        <w:rPr>
          <w:rFonts w:asciiTheme="majorHAnsi" w:hAnsiTheme="majorHAnsi"/>
          <w:sz w:val="18"/>
        </w:rPr>
        <w:t>growth</w:t>
      </w:r>
      <w:r w:rsidR="00A4211F">
        <w:rPr>
          <w:rFonts w:asciiTheme="majorHAnsi" w:hAnsiTheme="majorHAnsi"/>
          <w:sz w:val="18"/>
        </w:rPr>
        <w:t>,</w:t>
      </w:r>
      <w:r w:rsidR="00D629C0" w:rsidRPr="004C33FE">
        <w:rPr>
          <w:rFonts w:asciiTheme="majorHAnsi" w:hAnsiTheme="majorHAnsi"/>
          <w:sz w:val="18"/>
        </w:rPr>
        <w:t xml:space="preserve"> the 2014 performance was not strong for an even year. The solid improvement in </w:t>
      </w:r>
      <w:r w:rsidR="00F10BF2">
        <w:rPr>
          <w:rFonts w:asciiTheme="majorHAnsi" w:hAnsiTheme="majorHAnsi"/>
          <w:sz w:val="18"/>
        </w:rPr>
        <w:t xml:space="preserve">the US </w:t>
      </w:r>
      <w:r w:rsidR="00D629C0" w:rsidRPr="004C33FE">
        <w:rPr>
          <w:rFonts w:asciiTheme="majorHAnsi" w:hAnsiTheme="majorHAnsi"/>
          <w:sz w:val="18"/>
        </w:rPr>
        <w:t xml:space="preserve">macro-economic environment since the second quarter has failed to translate into </w:t>
      </w:r>
      <w:r w:rsidR="00550B2B">
        <w:rPr>
          <w:rFonts w:asciiTheme="majorHAnsi" w:hAnsiTheme="majorHAnsi"/>
          <w:sz w:val="18"/>
        </w:rPr>
        <w:t xml:space="preserve">an </w:t>
      </w:r>
      <w:r w:rsidR="00550B2B" w:rsidRPr="004C33FE">
        <w:rPr>
          <w:rFonts w:asciiTheme="majorHAnsi" w:hAnsiTheme="majorHAnsi"/>
          <w:sz w:val="18"/>
        </w:rPr>
        <w:t>acceleration</w:t>
      </w:r>
      <w:r w:rsidR="00D629C0" w:rsidRPr="004C33FE">
        <w:rPr>
          <w:rFonts w:asciiTheme="majorHAnsi" w:hAnsiTheme="majorHAnsi"/>
          <w:sz w:val="18"/>
        </w:rPr>
        <w:t xml:space="preserve"> </w:t>
      </w:r>
      <w:r w:rsidR="00F10BF2">
        <w:rPr>
          <w:rFonts w:asciiTheme="majorHAnsi" w:hAnsiTheme="majorHAnsi"/>
          <w:sz w:val="18"/>
        </w:rPr>
        <w:t>in</w:t>
      </w:r>
      <w:r w:rsidR="00D629C0" w:rsidRPr="004C33FE">
        <w:rPr>
          <w:rFonts w:asciiTheme="majorHAnsi" w:hAnsiTheme="majorHAnsi"/>
          <w:sz w:val="18"/>
        </w:rPr>
        <w:t xml:space="preserve"> marketing and advertising demand</w:t>
      </w:r>
      <w:r w:rsidR="00164041">
        <w:rPr>
          <w:rFonts w:asciiTheme="majorHAnsi" w:hAnsiTheme="majorHAnsi"/>
          <w:sz w:val="18"/>
        </w:rPr>
        <w:t xml:space="preserve"> so far</w:t>
      </w:r>
      <w:r w:rsidR="00D629C0" w:rsidRPr="004C33FE">
        <w:rPr>
          <w:rFonts w:asciiTheme="majorHAnsi" w:hAnsiTheme="majorHAnsi"/>
          <w:sz w:val="18"/>
        </w:rPr>
        <w:t>. For 2015, we are expecting advertising revenues to grow by +2.7%</w:t>
      </w:r>
      <w:r w:rsidR="00F10BF2">
        <w:rPr>
          <w:rFonts w:asciiTheme="majorHAnsi" w:hAnsiTheme="majorHAnsi"/>
          <w:sz w:val="18"/>
        </w:rPr>
        <w:t xml:space="preserve"> (previously: +3.3%)</w:t>
      </w:r>
      <w:r w:rsidR="00D629C0" w:rsidRPr="004C33FE">
        <w:rPr>
          <w:rFonts w:asciiTheme="majorHAnsi" w:hAnsiTheme="majorHAnsi"/>
          <w:sz w:val="18"/>
        </w:rPr>
        <w:t>.</w:t>
      </w:r>
    </w:p>
    <w:p w:rsidR="00887CAC" w:rsidRPr="004C33FE" w:rsidRDefault="00D629C0" w:rsidP="00F0459C">
      <w:pPr>
        <w:pStyle w:val="ListParagraph"/>
        <w:numPr>
          <w:ilvl w:val="0"/>
          <w:numId w:val="7"/>
        </w:numPr>
        <w:spacing w:before="0" w:after="60"/>
        <w:contextualSpacing w:val="0"/>
        <w:rPr>
          <w:rFonts w:asciiTheme="majorHAnsi" w:hAnsiTheme="majorHAnsi"/>
          <w:sz w:val="18"/>
        </w:rPr>
      </w:pPr>
      <w:r w:rsidRPr="00B85B4A">
        <w:rPr>
          <w:rFonts w:asciiTheme="majorHAnsi" w:hAnsiTheme="majorHAnsi"/>
          <w:sz w:val="18"/>
        </w:rPr>
        <w:t xml:space="preserve">As </w:t>
      </w:r>
      <w:r w:rsidR="00D67F7C" w:rsidRPr="00B85B4A">
        <w:rPr>
          <w:rFonts w:asciiTheme="majorHAnsi" w:hAnsiTheme="majorHAnsi"/>
          <w:sz w:val="18"/>
        </w:rPr>
        <w:t>predicted,</w:t>
      </w:r>
      <w:r w:rsidR="00B85B4A">
        <w:rPr>
          <w:rFonts w:asciiTheme="majorHAnsi" w:hAnsiTheme="majorHAnsi"/>
          <w:b/>
          <w:sz w:val="18"/>
        </w:rPr>
        <w:t xml:space="preserve"> </w:t>
      </w:r>
      <w:r w:rsidR="008C5179" w:rsidRPr="004C33FE">
        <w:rPr>
          <w:rFonts w:asciiTheme="majorHAnsi" w:hAnsiTheme="majorHAnsi"/>
          <w:b/>
          <w:sz w:val="18"/>
        </w:rPr>
        <w:t>Western Europe</w:t>
      </w:r>
      <w:r w:rsidR="008C5179" w:rsidRPr="004C33FE">
        <w:rPr>
          <w:rFonts w:asciiTheme="majorHAnsi" w:hAnsiTheme="majorHAnsi"/>
          <w:sz w:val="18"/>
        </w:rPr>
        <w:t xml:space="preserve"> finally retu</w:t>
      </w:r>
      <w:r w:rsidR="00311A96" w:rsidRPr="004C33FE">
        <w:rPr>
          <w:rFonts w:asciiTheme="majorHAnsi" w:hAnsiTheme="majorHAnsi"/>
          <w:sz w:val="18"/>
        </w:rPr>
        <w:t>rn</w:t>
      </w:r>
      <w:r w:rsidR="004C33FE" w:rsidRPr="004C33FE">
        <w:rPr>
          <w:rFonts w:asciiTheme="majorHAnsi" w:hAnsiTheme="majorHAnsi"/>
          <w:sz w:val="18"/>
        </w:rPr>
        <w:t>ed</w:t>
      </w:r>
      <w:r w:rsidR="00311A96" w:rsidRPr="004C33FE">
        <w:rPr>
          <w:rFonts w:asciiTheme="majorHAnsi" w:hAnsiTheme="majorHAnsi"/>
          <w:sz w:val="18"/>
        </w:rPr>
        <w:t xml:space="preserve"> to growth</w:t>
      </w:r>
      <w:r w:rsidRPr="004C33FE">
        <w:rPr>
          <w:rFonts w:asciiTheme="majorHAnsi" w:hAnsiTheme="majorHAnsi"/>
          <w:sz w:val="18"/>
        </w:rPr>
        <w:t xml:space="preserve"> </w:t>
      </w:r>
      <w:r w:rsidR="00F10BF2">
        <w:rPr>
          <w:rFonts w:asciiTheme="majorHAnsi" w:hAnsiTheme="majorHAnsi"/>
          <w:sz w:val="18"/>
        </w:rPr>
        <w:t>this year</w:t>
      </w:r>
      <w:r w:rsidRPr="004C33FE">
        <w:rPr>
          <w:rFonts w:asciiTheme="majorHAnsi" w:hAnsiTheme="majorHAnsi"/>
          <w:sz w:val="18"/>
        </w:rPr>
        <w:t xml:space="preserve"> (+3</w:t>
      </w:r>
      <w:r w:rsidR="004C33FE" w:rsidRPr="004C33FE">
        <w:rPr>
          <w:rFonts w:asciiTheme="majorHAnsi" w:hAnsiTheme="majorHAnsi"/>
          <w:sz w:val="18"/>
        </w:rPr>
        <w:t>.0</w:t>
      </w:r>
      <w:r w:rsidR="008C5179" w:rsidRPr="004C33FE">
        <w:rPr>
          <w:rFonts w:asciiTheme="majorHAnsi" w:hAnsiTheme="majorHAnsi"/>
          <w:sz w:val="18"/>
        </w:rPr>
        <w:t xml:space="preserve">%) </w:t>
      </w:r>
      <w:r w:rsidRPr="004C33FE">
        <w:rPr>
          <w:rFonts w:asciiTheme="majorHAnsi" w:hAnsiTheme="majorHAnsi"/>
          <w:sz w:val="18"/>
        </w:rPr>
        <w:t>and we are expecting a similar growth in 2015 (+2.8%)</w:t>
      </w:r>
      <w:r w:rsidR="008C5179" w:rsidRPr="004C33FE">
        <w:rPr>
          <w:rFonts w:asciiTheme="majorHAnsi" w:hAnsiTheme="majorHAnsi"/>
          <w:sz w:val="18"/>
        </w:rPr>
        <w:t xml:space="preserve">. </w:t>
      </w:r>
      <w:r w:rsidR="004C33FE" w:rsidRPr="004C33FE">
        <w:rPr>
          <w:rFonts w:asciiTheme="majorHAnsi" w:hAnsiTheme="majorHAnsi"/>
          <w:sz w:val="18"/>
        </w:rPr>
        <w:t xml:space="preserve">Our 2015 forecast for </w:t>
      </w:r>
      <w:r w:rsidR="008C5179" w:rsidRPr="004C33FE">
        <w:rPr>
          <w:rFonts w:asciiTheme="majorHAnsi" w:hAnsiTheme="majorHAnsi"/>
          <w:b/>
          <w:sz w:val="18"/>
        </w:rPr>
        <w:t>Eastern Europe</w:t>
      </w:r>
      <w:r w:rsidR="008C5179" w:rsidRPr="004C33FE">
        <w:rPr>
          <w:rFonts w:asciiTheme="majorHAnsi" w:hAnsiTheme="majorHAnsi"/>
          <w:sz w:val="18"/>
        </w:rPr>
        <w:t xml:space="preserve"> </w:t>
      </w:r>
      <w:r w:rsidR="004C33FE" w:rsidRPr="004C33FE">
        <w:rPr>
          <w:rFonts w:asciiTheme="majorHAnsi" w:hAnsiTheme="majorHAnsi"/>
          <w:sz w:val="18"/>
        </w:rPr>
        <w:t xml:space="preserve">is cut significantly, from </w:t>
      </w:r>
      <w:r w:rsidR="00134303">
        <w:rPr>
          <w:rFonts w:asciiTheme="majorHAnsi" w:hAnsiTheme="majorHAnsi"/>
          <w:sz w:val="18"/>
        </w:rPr>
        <w:t>+</w:t>
      </w:r>
      <w:r w:rsidR="004C33FE" w:rsidRPr="004C33FE">
        <w:rPr>
          <w:rFonts w:asciiTheme="majorHAnsi" w:hAnsiTheme="majorHAnsi"/>
          <w:sz w:val="18"/>
        </w:rPr>
        <w:t xml:space="preserve">6.4% to </w:t>
      </w:r>
      <w:r w:rsidR="00134303">
        <w:rPr>
          <w:rFonts w:asciiTheme="majorHAnsi" w:hAnsiTheme="majorHAnsi"/>
          <w:sz w:val="18"/>
        </w:rPr>
        <w:t>+</w:t>
      </w:r>
      <w:r w:rsidR="004C33FE" w:rsidRPr="004C33FE">
        <w:rPr>
          <w:rFonts w:asciiTheme="majorHAnsi" w:hAnsiTheme="majorHAnsi"/>
          <w:sz w:val="18"/>
        </w:rPr>
        <w:t>3.0% to reflect the massive economic headwinds faced by Russia and Ukraine.</w:t>
      </w:r>
      <w:r w:rsidR="008C5179" w:rsidRPr="004C33FE">
        <w:rPr>
          <w:rFonts w:asciiTheme="majorHAnsi" w:hAnsiTheme="majorHAnsi"/>
          <w:sz w:val="18"/>
        </w:rPr>
        <w:t xml:space="preserve"> </w:t>
      </w:r>
      <w:r w:rsidR="008C5179" w:rsidRPr="004C33FE">
        <w:rPr>
          <w:rFonts w:asciiTheme="majorHAnsi" w:hAnsiTheme="majorHAnsi"/>
          <w:b/>
          <w:sz w:val="18"/>
        </w:rPr>
        <w:t>Asia-Pacific</w:t>
      </w:r>
      <w:r w:rsidR="008C5179" w:rsidRPr="004C33FE">
        <w:rPr>
          <w:rFonts w:asciiTheme="majorHAnsi" w:hAnsiTheme="majorHAnsi"/>
          <w:sz w:val="18"/>
        </w:rPr>
        <w:t xml:space="preserve"> will </w:t>
      </w:r>
      <w:r w:rsidR="004C33FE" w:rsidRPr="004C33FE">
        <w:rPr>
          <w:rFonts w:asciiTheme="majorHAnsi" w:hAnsiTheme="majorHAnsi"/>
          <w:sz w:val="18"/>
        </w:rPr>
        <w:t>continue</w:t>
      </w:r>
      <w:r w:rsidR="008C5179" w:rsidRPr="004C33FE">
        <w:rPr>
          <w:rFonts w:asciiTheme="majorHAnsi" w:hAnsiTheme="majorHAnsi"/>
          <w:sz w:val="18"/>
        </w:rPr>
        <w:t xml:space="preserve"> high-single-digit growth</w:t>
      </w:r>
      <w:r w:rsidR="00311A96" w:rsidRPr="004C33FE">
        <w:rPr>
          <w:rFonts w:asciiTheme="majorHAnsi" w:hAnsiTheme="majorHAnsi"/>
          <w:sz w:val="18"/>
        </w:rPr>
        <w:t xml:space="preserve"> (+6</w:t>
      </w:r>
      <w:r w:rsidR="004C33FE" w:rsidRPr="004C33FE">
        <w:rPr>
          <w:rFonts w:asciiTheme="majorHAnsi" w:hAnsiTheme="majorHAnsi"/>
          <w:sz w:val="18"/>
        </w:rPr>
        <w:t xml:space="preserve">.4%). </w:t>
      </w:r>
      <w:r w:rsidR="008C5179" w:rsidRPr="004C33FE">
        <w:rPr>
          <w:rFonts w:asciiTheme="majorHAnsi" w:hAnsiTheme="majorHAnsi"/>
          <w:b/>
          <w:sz w:val="18"/>
        </w:rPr>
        <w:t>Latin America</w:t>
      </w:r>
      <w:r w:rsidR="00887CAC" w:rsidRPr="004C33FE">
        <w:rPr>
          <w:rFonts w:asciiTheme="majorHAnsi" w:hAnsiTheme="majorHAnsi"/>
          <w:b/>
          <w:sz w:val="18"/>
        </w:rPr>
        <w:t>n</w:t>
      </w:r>
      <w:r w:rsidR="00311A96" w:rsidRPr="004C33FE">
        <w:rPr>
          <w:rFonts w:asciiTheme="majorHAnsi" w:hAnsiTheme="majorHAnsi"/>
          <w:sz w:val="18"/>
        </w:rPr>
        <w:t xml:space="preserve"> a</w:t>
      </w:r>
      <w:r w:rsidR="00887CAC" w:rsidRPr="004C33FE">
        <w:rPr>
          <w:rFonts w:asciiTheme="majorHAnsi" w:hAnsiTheme="majorHAnsi"/>
          <w:sz w:val="18"/>
        </w:rPr>
        <w:t>dvertising spend</w:t>
      </w:r>
      <w:r w:rsidR="00311A96" w:rsidRPr="004C33FE">
        <w:rPr>
          <w:rFonts w:asciiTheme="majorHAnsi" w:hAnsiTheme="majorHAnsi"/>
          <w:sz w:val="18"/>
        </w:rPr>
        <w:t xml:space="preserve"> will grow by double digits (+</w:t>
      </w:r>
      <w:r w:rsidR="000D2DF4" w:rsidRPr="004C33FE">
        <w:rPr>
          <w:rFonts w:asciiTheme="majorHAnsi" w:hAnsiTheme="majorHAnsi"/>
          <w:sz w:val="18"/>
        </w:rPr>
        <w:t>13</w:t>
      </w:r>
      <w:r w:rsidR="008C5179" w:rsidRPr="004C33FE">
        <w:rPr>
          <w:rFonts w:asciiTheme="majorHAnsi" w:hAnsiTheme="majorHAnsi"/>
          <w:sz w:val="18"/>
        </w:rPr>
        <w:t>%</w:t>
      </w:r>
      <w:r w:rsidR="00311A96" w:rsidRPr="004C33FE">
        <w:rPr>
          <w:rFonts w:asciiTheme="majorHAnsi" w:hAnsiTheme="majorHAnsi"/>
          <w:sz w:val="18"/>
        </w:rPr>
        <w:t>)</w:t>
      </w:r>
      <w:r w:rsidR="008C5179" w:rsidRPr="004C33FE">
        <w:rPr>
          <w:rFonts w:asciiTheme="majorHAnsi" w:hAnsiTheme="majorHAnsi"/>
          <w:sz w:val="18"/>
        </w:rPr>
        <w:t xml:space="preserve"> </w:t>
      </w:r>
      <w:r w:rsidR="000D2DF4" w:rsidRPr="004C33FE">
        <w:rPr>
          <w:rFonts w:asciiTheme="majorHAnsi" w:hAnsiTheme="majorHAnsi"/>
          <w:sz w:val="18"/>
        </w:rPr>
        <w:t>with</w:t>
      </w:r>
      <w:r w:rsidR="00311A96" w:rsidRPr="004C33FE">
        <w:rPr>
          <w:rFonts w:asciiTheme="majorHAnsi" w:hAnsiTheme="majorHAnsi"/>
          <w:sz w:val="18"/>
        </w:rPr>
        <w:t xml:space="preserve"> </w:t>
      </w:r>
      <w:r w:rsidR="008C5179" w:rsidRPr="004C33FE">
        <w:rPr>
          <w:rFonts w:asciiTheme="majorHAnsi" w:hAnsiTheme="majorHAnsi"/>
          <w:sz w:val="18"/>
        </w:rPr>
        <w:t>inflation</w:t>
      </w:r>
      <w:r w:rsidR="00311A96" w:rsidRPr="004C33FE">
        <w:rPr>
          <w:rFonts w:asciiTheme="majorHAnsi" w:hAnsiTheme="majorHAnsi"/>
          <w:sz w:val="18"/>
        </w:rPr>
        <w:t xml:space="preserve"> (especially in Argentina</w:t>
      </w:r>
      <w:r w:rsidR="000D2DF4" w:rsidRPr="004C33FE">
        <w:rPr>
          <w:rFonts w:asciiTheme="majorHAnsi" w:hAnsiTheme="majorHAnsi"/>
          <w:sz w:val="18"/>
        </w:rPr>
        <w:t xml:space="preserve"> and Venezuela</w:t>
      </w:r>
      <w:r w:rsidR="00311A96" w:rsidRPr="004C33FE">
        <w:rPr>
          <w:rFonts w:asciiTheme="majorHAnsi" w:hAnsiTheme="majorHAnsi"/>
          <w:sz w:val="18"/>
        </w:rPr>
        <w:t>)</w:t>
      </w:r>
      <w:r w:rsidR="008C5179" w:rsidRPr="004C33FE">
        <w:rPr>
          <w:rFonts w:asciiTheme="majorHAnsi" w:hAnsiTheme="majorHAnsi"/>
          <w:sz w:val="18"/>
        </w:rPr>
        <w:t xml:space="preserve"> </w:t>
      </w:r>
      <w:r w:rsidR="000D2DF4" w:rsidRPr="004C33FE">
        <w:rPr>
          <w:rFonts w:asciiTheme="majorHAnsi" w:hAnsiTheme="majorHAnsi"/>
          <w:sz w:val="18"/>
        </w:rPr>
        <w:t xml:space="preserve">remaining the main driver, </w:t>
      </w:r>
      <w:r w:rsidR="004C33FE" w:rsidRPr="004C33FE">
        <w:rPr>
          <w:rFonts w:asciiTheme="majorHAnsi" w:hAnsiTheme="majorHAnsi"/>
          <w:sz w:val="18"/>
        </w:rPr>
        <w:t>amidst</w:t>
      </w:r>
      <w:r w:rsidR="000D2DF4" w:rsidRPr="004C33FE">
        <w:rPr>
          <w:rFonts w:asciiTheme="majorHAnsi" w:hAnsiTheme="majorHAnsi"/>
          <w:sz w:val="18"/>
        </w:rPr>
        <w:t xml:space="preserve"> a </w:t>
      </w:r>
      <w:r w:rsidR="004C33FE" w:rsidRPr="004C33FE">
        <w:rPr>
          <w:rFonts w:asciiTheme="majorHAnsi" w:hAnsiTheme="majorHAnsi"/>
          <w:sz w:val="18"/>
        </w:rPr>
        <w:t>sluggish</w:t>
      </w:r>
      <w:r w:rsidR="00134303">
        <w:rPr>
          <w:rFonts w:asciiTheme="majorHAnsi" w:hAnsiTheme="majorHAnsi"/>
          <w:sz w:val="18"/>
        </w:rPr>
        <w:t xml:space="preserve"> economic environment.</w:t>
      </w:r>
    </w:p>
    <w:p w:rsidR="004C33FE" w:rsidRDefault="00311A96" w:rsidP="00F0459C">
      <w:pPr>
        <w:pStyle w:val="ListParagraph"/>
        <w:numPr>
          <w:ilvl w:val="0"/>
          <w:numId w:val="7"/>
        </w:numPr>
        <w:spacing w:before="0" w:after="60"/>
        <w:contextualSpacing w:val="0"/>
        <w:rPr>
          <w:rFonts w:asciiTheme="majorHAnsi" w:hAnsiTheme="majorHAnsi"/>
          <w:sz w:val="18"/>
        </w:rPr>
      </w:pPr>
      <w:r w:rsidRPr="004C33FE">
        <w:rPr>
          <w:rFonts w:asciiTheme="majorHAnsi" w:hAnsiTheme="majorHAnsi"/>
          <w:sz w:val="18"/>
        </w:rPr>
        <w:t xml:space="preserve">The non-recurring </w:t>
      </w:r>
      <w:r w:rsidRPr="00F10BF2">
        <w:rPr>
          <w:rFonts w:asciiTheme="majorHAnsi" w:hAnsiTheme="majorHAnsi"/>
          <w:b/>
          <w:sz w:val="18"/>
        </w:rPr>
        <w:t>sports events of 2014</w:t>
      </w:r>
      <w:r w:rsidRPr="004C33FE">
        <w:rPr>
          <w:rFonts w:asciiTheme="majorHAnsi" w:hAnsiTheme="majorHAnsi"/>
          <w:sz w:val="18"/>
        </w:rPr>
        <w:t xml:space="preserve"> contribute</w:t>
      </w:r>
      <w:r w:rsidR="004C33FE" w:rsidRPr="004C33FE">
        <w:rPr>
          <w:rFonts w:asciiTheme="majorHAnsi" w:hAnsiTheme="majorHAnsi"/>
          <w:sz w:val="18"/>
        </w:rPr>
        <w:t>d</w:t>
      </w:r>
      <w:r w:rsidRPr="004C33FE">
        <w:rPr>
          <w:rFonts w:asciiTheme="majorHAnsi" w:hAnsiTheme="majorHAnsi"/>
          <w:sz w:val="18"/>
        </w:rPr>
        <w:t xml:space="preserve"> to the global growth of</w:t>
      </w:r>
      <w:r w:rsidRPr="004C33FE">
        <w:rPr>
          <w:rFonts w:asciiTheme="majorHAnsi" w:hAnsiTheme="majorHAnsi"/>
          <w:b/>
          <w:sz w:val="18"/>
        </w:rPr>
        <w:t xml:space="preserve"> television </w:t>
      </w:r>
      <w:r w:rsidR="004C33FE" w:rsidRPr="004C33FE">
        <w:rPr>
          <w:rFonts w:asciiTheme="majorHAnsi" w:hAnsiTheme="majorHAnsi"/>
          <w:sz w:val="18"/>
        </w:rPr>
        <w:t>(+5</w:t>
      </w:r>
      <w:r w:rsidRPr="004C33FE">
        <w:rPr>
          <w:rFonts w:asciiTheme="majorHAnsi" w:hAnsiTheme="majorHAnsi"/>
          <w:sz w:val="18"/>
        </w:rPr>
        <w:t>.2%).</w:t>
      </w:r>
      <w:r w:rsidR="004C33FE" w:rsidRPr="004C33FE">
        <w:rPr>
          <w:rFonts w:asciiTheme="majorHAnsi" w:hAnsiTheme="majorHAnsi"/>
          <w:sz w:val="18"/>
        </w:rPr>
        <w:t xml:space="preserve"> The FIFA World Cup was a clear positive in </w:t>
      </w:r>
      <w:r w:rsidR="00F10BF2">
        <w:rPr>
          <w:rFonts w:asciiTheme="majorHAnsi" w:hAnsiTheme="majorHAnsi"/>
          <w:sz w:val="18"/>
        </w:rPr>
        <w:t xml:space="preserve">some </w:t>
      </w:r>
      <w:r w:rsidR="00134303">
        <w:rPr>
          <w:rFonts w:asciiTheme="majorHAnsi" w:hAnsiTheme="majorHAnsi"/>
          <w:sz w:val="18"/>
        </w:rPr>
        <w:t xml:space="preserve">markets like the UK and the US, but it was neutral </w:t>
      </w:r>
      <w:r w:rsidR="004C33FE" w:rsidRPr="004C33FE">
        <w:rPr>
          <w:rFonts w:asciiTheme="majorHAnsi" w:hAnsiTheme="majorHAnsi"/>
          <w:sz w:val="18"/>
        </w:rPr>
        <w:t>in Germany</w:t>
      </w:r>
      <w:r w:rsidR="00134303">
        <w:rPr>
          <w:rFonts w:asciiTheme="majorHAnsi" w:hAnsiTheme="majorHAnsi"/>
          <w:sz w:val="18"/>
        </w:rPr>
        <w:t xml:space="preserve"> and below expectations in Brazil. T</w:t>
      </w:r>
      <w:r w:rsidR="004C33FE" w:rsidRPr="004C33FE">
        <w:rPr>
          <w:rFonts w:asciiTheme="majorHAnsi" w:hAnsiTheme="majorHAnsi"/>
          <w:sz w:val="18"/>
        </w:rPr>
        <w:t xml:space="preserve">he Winter Olympics and </w:t>
      </w:r>
      <w:r w:rsidR="00134303">
        <w:rPr>
          <w:rFonts w:asciiTheme="majorHAnsi" w:hAnsiTheme="majorHAnsi"/>
          <w:sz w:val="18"/>
        </w:rPr>
        <w:t>m</w:t>
      </w:r>
      <w:r w:rsidR="004C33FE" w:rsidRPr="004C33FE">
        <w:rPr>
          <w:rFonts w:asciiTheme="majorHAnsi" w:hAnsiTheme="majorHAnsi"/>
          <w:sz w:val="18"/>
        </w:rPr>
        <w:t xml:space="preserve">id-term </w:t>
      </w:r>
      <w:r w:rsidR="00134303">
        <w:rPr>
          <w:rFonts w:asciiTheme="majorHAnsi" w:hAnsiTheme="majorHAnsi"/>
          <w:sz w:val="18"/>
        </w:rPr>
        <w:t>e</w:t>
      </w:r>
      <w:r w:rsidR="004C33FE" w:rsidRPr="004C33FE">
        <w:rPr>
          <w:rFonts w:asciiTheme="majorHAnsi" w:hAnsiTheme="majorHAnsi"/>
          <w:sz w:val="18"/>
        </w:rPr>
        <w:t>lections bonanza proved below expectations</w:t>
      </w:r>
      <w:r w:rsidR="00134303">
        <w:rPr>
          <w:rFonts w:asciiTheme="majorHAnsi" w:hAnsiTheme="majorHAnsi"/>
          <w:sz w:val="18"/>
        </w:rPr>
        <w:t xml:space="preserve"> in the US</w:t>
      </w:r>
      <w:r w:rsidR="004C33FE" w:rsidRPr="004C33FE">
        <w:rPr>
          <w:rFonts w:asciiTheme="majorHAnsi" w:hAnsiTheme="majorHAnsi"/>
          <w:sz w:val="18"/>
        </w:rPr>
        <w:t>.</w:t>
      </w:r>
      <w:r w:rsidR="00541918" w:rsidRPr="004C33FE">
        <w:rPr>
          <w:rFonts w:asciiTheme="majorHAnsi" w:hAnsiTheme="majorHAnsi"/>
          <w:sz w:val="18"/>
        </w:rPr>
        <w:t xml:space="preserve"> </w:t>
      </w:r>
      <w:r w:rsidR="004C33FE">
        <w:rPr>
          <w:rFonts w:asciiTheme="majorHAnsi" w:hAnsiTheme="majorHAnsi"/>
          <w:sz w:val="18"/>
        </w:rPr>
        <w:t xml:space="preserve">TV is expected to grow again in 2015, </w:t>
      </w:r>
      <w:r w:rsidR="00134303">
        <w:rPr>
          <w:rFonts w:asciiTheme="majorHAnsi" w:hAnsiTheme="majorHAnsi"/>
          <w:sz w:val="18"/>
        </w:rPr>
        <w:t xml:space="preserve">globally, </w:t>
      </w:r>
      <w:r w:rsidR="004C33FE">
        <w:rPr>
          <w:rFonts w:asciiTheme="majorHAnsi" w:hAnsiTheme="majorHAnsi"/>
          <w:sz w:val="18"/>
        </w:rPr>
        <w:t>driven by a positive pricing trend in Europe and parts of Asia (+3.0%).</w:t>
      </w:r>
    </w:p>
    <w:p w:rsidR="00887CAC" w:rsidRDefault="00E5169D" w:rsidP="00F0459C">
      <w:pPr>
        <w:pStyle w:val="ListParagraph"/>
        <w:numPr>
          <w:ilvl w:val="0"/>
          <w:numId w:val="7"/>
        </w:numPr>
        <w:spacing w:before="0" w:after="60"/>
        <w:contextualSpacing w:val="0"/>
        <w:rPr>
          <w:rFonts w:asciiTheme="majorHAnsi" w:hAnsiTheme="majorHAnsi"/>
          <w:sz w:val="18"/>
        </w:rPr>
      </w:pPr>
      <w:r w:rsidRPr="004C33FE">
        <w:rPr>
          <w:rFonts w:asciiTheme="majorHAnsi" w:hAnsiTheme="majorHAnsi"/>
          <w:b/>
          <w:sz w:val="18"/>
        </w:rPr>
        <w:t>Digital m</w:t>
      </w:r>
      <w:r w:rsidR="00B32A90" w:rsidRPr="004C33FE">
        <w:rPr>
          <w:rFonts w:asciiTheme="majorHAnsi" w:hAnsiTheme="majorHAnsi"/>
          <w:b/>
          <w:sz w:val="18"/>
        </w:rPr>
        <w:t>edia</w:t>
      </w:r>
      <w:r w:rsidR="00B32A90" w:rsidRPr="004C33FE">
        <w:rPr>
          <w:rFonts w:asciiTheme="majorHAnsi" w:hAnsiTheme="majorHAnsi"/>
          <w:sz w:val="18"/>
        </w:rPr>
        <w:t xml:space="preserve"> </w:t>
      </w:r>
      <w:r w:rsidR="004C33FE">
        <w:rPr>
          <w:rFonts w:asciiTheme="majorHAnsi" w:hAnsiTheme="majorHAnsi"/>
          <w:sz w:val="18"/>
        </w:rPr>
        <w:t xml:space="preserve">grew </w:t>
      </w:r>
      <w:r w:rsidR="00B85B4A">
        <w:rPr>
          <w:rFonts w:asciiTheme="majorHAnsi" w:hAnsiTheme="majorHAnsi"/>
          <w:sz w:val="18"/>
        </w:rPr>
        <w:t>strongly again this year (+17</w:t>
      </w:r>
      <w:r w:rsidR="004C33FE">
        <w:rPr>
          <w:rFonts w:asciiTheme="majorHAnsi" w:hAnsiTheme="majorHAnsi"/>
          <w:sz w:val="18"/>
        </w:rPr>
        <w:t>.</w:t>
      </w:r>
      <w:r w:rsidR="00B85B4A">
        <w:rPr>
          <w:rFonts w:asciiTheme="majorHAnsi" w:hAnsiTheme="majorHAnsi"/>
          <w:sz w:val="18"/>
        </w:rPr>
        <w:t>2</w:t>
      </w:r>
      <w:r w:rsidR="004C33FE">
        <w:rPr>
          <w:rFonts w:asciiTheme="majorHAnsi" w:hAnsiTheme="majorHAnsi"/>
          <w:sz w:val="18"/>
        </w:rPr>
        <w:t>%</w:t>
      </w:r>
      <w:r w:rsidR="00B85B4A">
        <w:rPr>
          <w:rFonts w:asciiTheme="majorHAnsi" w:hAnsiTheme="majorHAnsi"/>
          <w:sz w:val="18"/>
        </w:rPr>
        <w:t xml:space="preserve"> to $142 billion</w:t>
      </w:r>
      <w:r w:rsidR="004C33FE">
        <w:rPr>
          <w:rFonts w:asciiTheme="majorHAnsi" w:hAnsiTheme="majorHAnsi"/>
          <w:sz w:val="18"/>
        </w:rPr>
        <w:t>)</w:t>
      </w:r>
      <w:r w:rsidR="00B85B4A">
        <w:rPr>
          <w:rFonts w:asciiTheme="majorHAnsi" w:hAnsiTheme="majorHAnsi"/>
          <w:sz w:val="18"/>
        </w:rPr>
        <w:t xml:space="preserve"> driven by mobile campaigns (+72%) and social formats (+64%)</w:t>
      </w:r>
      <w:r w:rsidR="00057FE1" w:rsidRPr="004C33FE">
        <w:rPr>
          <w:rFonts w:asciiTheme="majorHAnsi" w:hAnsiTheme="majorHAnsi"/>
          <w:sz w:val="18"/>
        </w:rPr>
        <w:t xml:space="preserve">. </w:t>
      </w:r>
      <w:r w:rsidR="00B85B4A">
        <w:rPr>
          <w:rFonts w:asciiTheme="majorHAnsi" w:hAnsiTheme="majorHAnsi"/>
          <w:sz w:val="18"/>
        </w:rPr>
        <w:t xml:space="preserve">We forecast global digital revenues to reach </w:t>
      </w:r>
      <w:r w:rsidR="00B85B4A" w:rsidRPr="00347E4D">
        <w:rPr>
          <w:rFonts w:asciiTheme="majorHAnsi" w:hAnsiTheme="majorHAnsi"/>
          <w:b/>
          <w:sz w:val="18"/>
        </w:rPr>
        <w:t>30% market share</w:t>
      </w:r>
      <w:r w:rsidR="00F10BF2">
        <w:rPr>
          <w:rFonts w:asciiTheme="majorHAnsi" w:hAnsiTheme="majorHAnsi"/>
          <w:b/>
          <w:sz w:val="18"/>
        </w:rPr>
        <w:t xml:space="preserve"> globally</w:t>
      </w:r>
      <w:r w:rsidR="00B85B4A">
        <w:rPr>
          <w:rFonts w:asciiTheme="majorHAnsi" w:hAnsiTheme="majorHAnsi"/>
          <w:sz w:val="18"/>
        </w:rPr>
        <w:t xml:space="preserve"> </w:t>
      </w:r>
      <w:r w:rsidR="00F10BF2">
        <w:rPr>
          <w:rFonts w:asciiTheme="majorHAnsi" w:hAnsiTheme="majorHAnsi"/>
          <w:sz w:val="18"/>
        </w:rPr>
        <w:t>in 2015</w:t>
      </w:r>
      <w:r w:rsidR="00B85B4A">
        <w:rPr>
          <w:rFonts w:asciiTheme="majorHAnsi" w:hAnsiTheme="majorHAnsi"/>
          <w:sz w:val="18"/>
        </w:rPr>
        <w:t xml:space="preserve"> (+15.1% to $163</w:t>
      </w:r>
      <w:r w:rsidR="00134303">
        <w:rPr>
          <w:rFonts w:asciiTheme="majorHAnsi" w:hAnsiTheme="majorHAnsi"/>
          <w:sz w:val="18"/>
        </w:rPr>
        <w:t xml:space="preserve"> </w:t>
      </w:r>
      <w:r w:rsidR="00B85B4A">
        <w:rPr>
          <w:rFonts w:asciiTheme="majorHAnsi" w:hAnsiTheme="majorHAnsi"/>
          <w:sz w:val="18"/>
        </w:rPr>
        <w:t>b</w:t>
      </w:r>
      <w:r w:rsidR="00134303">
        <w:rPr>
          <w:rFonts w:asciiTheme="majorHAnsi" w:hAnsiTheme="majorHAnsi"/>
          <w:sz w:val="18"/>
        </w:rPr>
        <w:t>illio</w:t>
      </w:r>
      <w:r w:rsidR="00B85B4A">
        <w:rPr>
          <w:rFonts w:asciiTheme="majorHAnsi" w:hAnsiTheme="majorHAnsi"/>
          <w:sz w:val="18"/>
        </w:rPr>
        <w:t xml:space="preserve">n). Based on our long-term forecasts, digital media will catch up with television in 2019, when both account for 38% of </w:t>
      </w:r>
      <w:r w:rsidR="00F10BF2">
        <w:rPr>
          <w:rFonts w:asciiTheme="majorHAnsi" w:hAnsiTheme="majorHAnsi"/>
          <w:sz w:val="18"/>
        </w:rPr>
        <w:t xml:space="preserve">global </w:t>
      </w:r>
      <w:r w:rsidR="00B85B4A">
        <w:rPr>
          <w:rFonts w:asciiTheme="majorHAnsi" w:hAnsiTheme="majorHAnsi"/>
          <w:sz w:val="18"/>
        </w:rPr>
        <w:t>advertising revenues.</w:t>
      </w:r>
    </w:p>
    <w:p w:rsidR="00347E4D" w:rsidRPr="00347E4D" w:rsidRDefault="00347E4D" w:rsidP="00F0459C">
      <w:pPr>
        <w:pStyle w:val="ListParagraph"/>
        <w:numPr>
          <w:ilvl w:val="0"/>
          <w:numId w:val="7"/>
        </w:numPr>
        <w:spacing w:before="0" w:after="60"/>
        <w:contextualSpacing w:val="0"/>
        <w:rPr>
          <w:rFonts w:asciiTheme="majorHAnsi" w:hAnsiTheme="majorHAnsi"/>
          <w:sz w:val="18"/>
        </w:rPr>
      </w:pPr>
      <w:r>
        <w:rPr>
          <w:rFonts w:asciiTheme="majorHAnsi" w:hAnsiTheme="majorHAnsi"/>
          <w:b/>
          <w:sz w:val="18"/>
        </w:rPr>
        <w:t xml:space="preserve">Digital media is </w:t>
      </w:r>
      <w:r w:rsidRPr="00347E4D">
        <w:rPr>
          <w:rFonts w:asciiTheme="majorHAnsi" w:hAnsiTheme="majorHAnsi"/>
          <w:b/>
          <w:i/>
          <w:sz w:val="18"/>
        </w:rPr>
        <w:t>already</w:t>
      </w:r>
      <w:r>
        <w:rPr>
          <w:rFonts w:asciiTheme="majorHAnsi" w:hAnsiTheme="majorHAnsi"/>
          <w:b/>
          <w:sz w:val="18"/>
        </w:rPr>
        <w:t xml:space="preserve"> the #1 media category in 14 of the 73 markets </w:t>
      </w:r>
      <w:r w:rsidRPr="00347E4D">
        <w:rPr>
          <w:rFonts w:asciiTheme="majorHAnsi" w:hAnsiTheme="majorHAnsi"/>
          <w:sz w:val="18"/>
        </w:rPr>
        <w:t>analyzed by MAGNA GLOBAL in this update, including the UK (highest share in the world: 47%), Australia, Canada, Germany, China, Sweden and the Netherlands.</w:t>
      </w:r>
      <w:r>
        <w:rPr>
          <w:rFonts w:asciiTheme="majorHAnsi" w:hAnsiTheme="majorHAnsi"/>
          <w:sz w:val="18"/>
        </w:rPr>
        <w:t xml:space="preserve"> In the US, digital will outgrow television revenues by 2017.</w:t>
      </w:r>
    </w:p>
    <w:p w:rsidR="00B85B4A" w:rsidRPr="00347E4D" w:rsidRDefault="00347E4D" w:rsidP="00F0459C">
      <w:pPr>
        <w:pStyle w:val="ListParagraph"/>
        <w:numPr>
          <w:ilvl w:val="0"/>
          <w:numId w:val="7"/>
        </w:numPr>
        <w:spacing w:before="0" w:after="60"/>
        <w:contextualSpacing w:val="0"/>
        <w:rPr>
          <w:rFonts w:asciiTheme="majorHAnsi" w:hAnsiTheme="majorHAnsi"/>
          <w:sz w:val="18"/>
        </w:rPr>
      </w:pPr>
      <w:r w:rsidRPr="00347E4D">
        <w:rPr>
          <w:rFonts w:asciiTheme="majorHAnsi" w:hAnsiTheme="majorHAnsi"/>
          <w:sz w:val="18"/>
        </w:rPr>
        <w:lastRenderedPageBreak/>
        <w:t>Most o</w:t>
      </w:r>
      <w:r w:rsidR="00B85B4A" w:rsidRPr="00347E4D">
        <w:rPr>
          <w:rFonts w:asciiTheme="majorHAnsi" w:hAnsiTheme="majorHAnsi"/>
          <w:sz w:val="18"/>
        </w:rPr>
        <w:t xml:space="preserve">ther media categories suffered from the competition of television and digital in 2014. Newspaper ad sales decreased by an average </w:t>
      </w:r>
      <w:r w:rsidR="00F10BF2">
        <w:rPr>
          <w:rFonts w:asciiTheme="majorHAnsi" w:hAnsiTheme="majorHAnsi"/>
          <w:sz w:val="18"/>
        </w:rPr>
        <w:t>-</w:t>
      </w:r>
      <w:r w:rsidR="00B85B4A" w:rsidRPr="00347E4D">
        <w:rPr>
          <w:rFonts w:asciiTheme="majorHAnsi" w:hAnsiTheme="majorHAnsi"/>
          <w:sz w:val="18"/>
        </w:rPr>
        <w:t xml:space="preserve">4.3% while magazines ad revenues </w:t>
      </w:r>
      <w:r w:rsidRPr="00347E4D">
        <w:rPr>
          <w:rFonts w:asciiTheme="majorHAnsi" w:hAnsiTheme="majorHAnsi"/>
          <w:sz w:val="18"/>
        </w:rPr>
        <w:t xml:space="preserve">shrank by </w:t>
      </w:r>
      <w:r w:rsidR="00F10BF2">
        <w:rPr>
          <w:rFonts w:asciiTheme="majorHAnsi" w:hAnsiTheme="majorHAnsi"/>
          <w:sz w:val="18"/>
        </w:rPr>
        <w:t>-</w:t>
      </w:r>
      <w:r w:rsidRPr="00347E4D">
        <w:rPr>
          <w:rFonts w:asciiTheme="majorHAnsi" w:hAnsiTheme="majorHAnsi"/>
          <w:sz w:val="18"/>
        </w:rPr>
        <w:t xml:space="preserve">7.3%. Radio was flat (+0.1%) and out-of-home media grew by </w:t>
      </w:r>
      <w:r w:rsidR="00F10BF2">
        <w:rPr>
          <w:rFonts w:asciiTheme="majorHAnsi" w:hAnsiTheme="majorHAnsi"/>
          <w:sz w:val="18"/>
        </w:rPr>
        <w:t>+</w:t>
      </w:r>
      <w:r w:rsidRPr="00347E4D">
        <w:rPr>
          <w:rFonts w:asciiTheme="majorHAnsi" w:hAnsiTheme="majorHAnsi"/>
          <w:sz w:val="18"/>
        </w:rPr>
        <w:t>3.4%.</w:t>
      </w:r>
    </w:p>
    <w:p w:rsidR="002153D6" w:rsidRPr="007F2882" w:rsidRDefault="00BC5060">
      <w:pPr>
        <w:rPr>
          <w:rFonts w:asciiTheme="majorHAnsi" w:hAnsiTheme="majorHAnsi"/>
        </w:rPr>
      </w:pPr>
      <w:r>
        <w:rPr>
          <w:rFonts w:asciiTheme="majorHAnsi" w:hAnsiTheme="majorHAnsi"/>
        </w:rPr>
        <w:t>-------</w:t>
      </w:r>
    </w:p>
    <w:p w:rsidR="00516277" w:rsidRDefault="005E6890" w:rsidP="005E6890">
      <w:pPr>
        <w:rPr>
          <w:rFonts w:asciiTheme="majorHAnsi" w:hAnsiTheme="majorHAnsi"/>
        </w:rPr>
      </w:pPr>
      <w:r w:rsidRPr="00F10BF2">
        <w:rPr>
          <w:rFonts w:asciiTheme="majorHAnsi" w:hAnsiTheme="majorHAnsi"/>
        </w:rPr>
        <w:t>In its latest study of global media owner advertising revenues, covering 7</w:t>
      </w:r>
      <w:r w:rsidR="00146827" w:rsidRPr="00F10BF2">
        <w:rPr>
          <w:rFonts w:asciiTheme="majorHAnsi" w:hAnsiTheme="majorHAnsi"/>
        </w:rPr>
        <w:t>3</w:t>
      </w:r>
      <w:r w:rsidRPr="00F10BF2">
        <w:rPr>
          <w:rFonts w:asciiTheme="majorHAnsi" w:hAnsiTheme="majorHAnsi"/>
        </w:rPr>
        <w:t xml:space="preserve"> countries, MAGNA GLOBAL </w:t>
      </w:r>
      <w:r w:rsidR="00245F6E">
        <w:rPr>
          <w:rFonts w:asciiTheme="majorHAnsi" w:hAnsiTheme="majorHAnsi"/>
        </w:rPr>
        <w:t>estimates</w:t>
      </w:r>
      <w:r w:rsidRPr="00F10BF2">
        <w:rPr>
          <w:rFonts w:asciiTheme="majorHAnsi" w:hAnsiTheme="majorHAnsi"/>
        </w:rPr>
        <w:t xml:space="preserve"> that </w:t>
      </w:r>
      <w:r w:rsidR="00245F6E">
        <w:rPr>
          <w:rFonts w:asciiTheme="majorHAnsi" w:hAnsiTheme="majorHAnsi"/>
        </w:rPr>
        <w:t xml:space="preserve">ad </w:t>
      </w:r>
      <w:r w:rsidRPr="00F10BF2">
        <w:rPr>
          <w:rFonts w:asciiTheme="majorHAnsi" w:hAnsiTheme="majorHAnsi"/>
        </w:rPr>
        <w:t xml:space="preserve">revenues </w:t>
      </w:r>
      <w:r w:rsidR="00F10BF2">
        <w:rPr>
          <w:rFonts w:asciiTheme="majorHAnsi" w:hAnsiTheme="majorHAnsi"/>
        </w:rPr>
        <w:t xml:space="preserve">grew by </w:t>
      </w:r>
      <w:r w:rsidR="00164041" w:rsidRPr="000B4C26">
        <w:rPr>
          <w:rFonts w:asciiTheme="majorHAnsi" w:hAnsiTheme="majorHAnsi"/>
          <w:b/>
        </w:rPr>
        <w:t>+</w:t>
      </w:r>
      <w:r w:rsidR="00F10BF2" w:rsidRPr="000B4C26">
        <w:rPr>
          <w:rFonts w:asciiTheme="majorHAnsi" w:hAnsiTheme="majorHAnsi"/>
          <w:b/>
        </w:rPr>
        <w:t>5.5% this year</w:t>
      </w:r>
      <w:r w:rsidR="00F10BF2">
        <w:rPr>
          <w:rFonts w:asciiTheme="majorHAnsi" w:hAnsiTheme="majorHAnsi"/>
        </w:rPr>
        <w:t xml:space="preserve">, to reach the </w:t>
      </w:r>
      <w:r w:rsidR="00F10BF2" w:rsidRPr="000B4C26">
        <w:rPr>
          <w:rFonts w:asciiTheme="majorHAnsi" w:hAnsiTheme="majorHAnsi"/>
          <w:b/>
        </w:rPr>
        <w:t>half-trillion mark</w:t>
      </w:r>
      <w:r w:rsidR="00F10BF2">
        <w:rPr>
          <w:rFonts w:asciiTheme="majorHAnsi" w:hAnsiTheme="majorHAnsi"/>
        </w:rPr>
        <w:t xml:space="preserve"> ($512 billion). </w:t>
      </w:r>
      <w:r w:rsidR="00C46372">
        <w:rPr>
          <w:rFonts w:asciiTheme="majorHAnsi" w:hAnsiTheme="majorHAnsi"/>
        </w:rPr>
        <w:t xml:space="preserve">Advertising sales </w:t>
      </w:r>
      <w:r w:rsidR="00E30CBB" w:rsidRPr="00F10BF2">
        <w:rPr>
          <w:rFonts w:asciiTheme="majorHAnsi" w:hAnsiTheme="majorHAnsi"/>
        </w:rPr>
        <w:t>will grow</w:t>
      </w:r>
      <w:r w:rsidRPr="00F10BF2">
        <w:rPr>
          <w:rFonts w:asciiTheme="majorHAnsi" w:hAnsiTheme="majorHAnsi"/>
        </w:rPr>
        <w:t xml:space="preserve"> by </w:t>
      </w:r>
      <w:r w:rsidRPr="000B4C26">
        <w:rPr>
          <w:rFonts w:asciiTheme="majorHAnsi" w:hAnsiTheme="majorHAnsi"/>
          <w:b/>
        </w:rPr>
        <w:t>+</w:t>
      </w:r>
      <w:r w:rsidR="00BC5060" w:rsidRPr="000B4C26">
        <w:rPr>
          <w:rFonts w:asciiTheme="majorHAnsi" w:hAnsiTheme="majorHAnsi"/>
          <w:b/>
        </w:rPr>
        <w:t>4.8</w:t>
      </w:r>
      <w:r w:rsidR="00E30CBB" w:rsidRPr="000B4C26">
        <w:rPr>
          <w:rFonts w:asciiTheme="majorHAnsi" w:hAnsiTheme="majorHAnsi"/>
          <w:b/>
        </w:rPr>
        <w:t>% in 201</w:t>
      </w:r>
      <w:r w:rsidR="00BC5060" w:rsidRPr="000B4C26">
        <w:rPr>
          <w:rFonts w:asciiTheme="majorHAnsi" w:hAnsiTheme="majorHAnsi"/>
          <w:b/>
        </w:rPr>
        <w:t>5</w:t>
      </w:r>
      <w:r w:rsidRPr="000B4C26">
        <w:rPr>
          <w:rFonts w:asciiTheme="majorHAnsi" w:hAnsiTheme="majorHAnsi"/>
          <w:b/>
        </w:rPr>
        <w:t xml:space="preserve"> to</w:t>
      </w:r>
      <w:r w:rsidR="00C46372" w:rsidRPr="000B4C26">
        <w:rPr>
          <w:rFonts w:asciiTheme="majorHAnsi" w:hAnsiTheme="majorHAnsi"/>
          <w:b/>
        </w:rPr>
        <w:t xml:space="preserve"> reach</w:t>
      </w:r>
      <w:r w:rsidRPr="000B4C26">
        <w:rPr>
          <w:rFonts w:asciiTheme="majorHAnsi" w:hAnsiTheme="majorHAnsi"/>
          <w:b/>
        </w:rPr>
        <w:t xml:space="preserve"> $</w:t>
      </w:r>
      <w:r w:rsidR="00E30CBB" w:rsidRPr="000B4C26">
        <w:rPr>
          <w:rFonts w:asciiTheme="majorHAnsi" w:hAnsiTheme="majorHAnsi"/>
          <w:b/>
        </w:rPr>
        <w:t>5</w:t>
      </w:r>
      <w:r w:rsidR="00C46372" w:rsidRPr="000B4C26">
        <w:rPr>
          <w:rFonts w:asciiTheme="majorHAnsi" w:hAnsiTheme="majorHAnsi"/>
          <w:b/>
        </w:rPr>
        <w:t>36</w:t>
      </w:r>
      <w:r w:rsidRPr="000B4C26">
        <w:rPr>
          <w:rFonts w:asciiTheme="majorHAnsi" w:hAnsiTheme="majorHAnsi"/>
          <w:b/>
        </w:rPr>
        <w:t xml:space="preserve"> billion</w:t>
      </w:r>
      <w:r w:rsidR="00516277">
        <w:rPr>
          <w:rFonts w:asciiTheme="majorHAnsi" w:hAnsiTheme="majorHAnsi"/>
        </w:rPr>
        <w:t>.</w:t>
      </w:r>
    </w:p>
    <w:p w:rsidR="00BC5060" w:rsidRPr="00F10BF2" w:rsidRDefault="00C46372" w:rsidP="005E6890">
      <w:pPr>
        <w:rPr>
          <w:rFonts w:asciiTheme="majorHAnsi" w:hAnsiTheme="majorHAnsi"/>
        </w:rPr>
      </w:pPr>
      <w:r>
        <w:rPr>
          <w:rFonts w:asciiTheme="majorHAnsi" w:hAnsiTheme="majorHAnsi"/>
        </w:rPr>
        <w:t>The new 2015 forecast is</w:t>
      </w:r>
      <w:r w:rsidR="005E6890" w:rsidRPr="00F10BF2">
        <w:rPr>
          <w:rFonts w:asciiTheme="majorHAnsi" w:hAnsiTheme="majorHAnsi"/>
        </w:rPr>
        <w:t xml:space="preserve"> in l</w:t>
      </w:r>
      <w:r>
        <w:rPr>
          <w:rFonts w:asciiTheme="majorHAnsi" w:hAnsiTheme="majorHAnsi"/>
        </w:rPr>
        <w:t xml:space="preserve">ine with our previous forecast of </w:t>
      </w:r>
      <w:r w:rsidR="005E6890" w:rsidRPr="00F10BF2">
        <w:rPr>
          <w:rFonts w:asciiTheme="majorHAnsi" w:hAnsiTheme="majorHAnsi"/>
        </w:rPr>
        <w:t>+</w:t>
      </w:r>
      <w:r w:rsidR="00BC5060" w:rsidRPr="00F10BF2">
        <w:rPr>
          <w:rFonts w:asciiTheme="majorHAnsi" w:hAnsiTheme="majorHAnsi"/>
        </w:rPr>
        <w:t>4.9</w:t>
      </w:r>
      <w:r w:rsidR="005E6890" w:rsidRPr="00F10BF2">
        <w:rPr>
          <w:rFonts w:asciiTheme="majorHAnsi" w:hAnsiTheme="majorHAnsi"/>
        </w:rPr>
        <w:t xml:space="preserve">% </w:t>
      </w:r>
      <w:r w:rsidR="005955BA" w:rsidRPr="00F10BF2">
        <w:rPr>
          <w:rFonts w:asciiTheme="majorHAnsi" w:hAnsiTheme="majorHAnsi"/>
        </w:rPr>
        <w:t xml:space="preserve">published </w:t>
      </w:r>
      <w:r w:rsidR="005E6890" w:rsidRPr="00F10BF2">
        <w:rPr>
          <w:rFonts w:asciiTheme="majorHAnsi" w:hAnsiTheme="majorHAnsi"/>
        </w:rPr>
        <w:t xml:space="preserve">in </w:t>
      </w:r>
      <w:r>
        <w:rPr>
          <w:rFonts w:asciiTheme="majorHAnsi" w:hAnsiTheme="majorHAnsi"/>
        </w:rPr>
        <w:t>June 2014</w:t>
      </w:r>
      <w:r w:rsidR="00BC5060" w:rsidRPr="00F10BF2">
        <w:rPr>
          <w:rFonts w:asciiTheme="majorHAnsi" w:hAnsiTheme="majorHAnsi"/>
        </w:rPr>
        <w:t xml:space="preserve">. This </w:t>
      </w:r>
      <w:r w:rsidR="00E30CBB" w:rsidRPr="00F10BF2">
        <w:rPr>
          <w:rFonts w:asciiTheme="majorHAnsi" w:hAnsiTheme="majorHAnsi"/>
        </w:rPr>
        <w:t xml:space="preserve">represents a </w:t>
      </w:r>
      <w:r>
        <w:rPr>
          <w:rFonts w:asciiTheme="majorHAnsi" w:hAnsiTheme="majorHAnsi"/>
        </w:rPr>
        <w:t xml:space="preserve">slight </w:t>
      </w:r>
      <w:r w:rsidR="00BC5060" w:rsidRPr="00F10BF2">
        <w:rPr>
          <w:rFonts w:asciiTheme="majorHAnsi" w:hAnsiTheme="majorHAnsi"/>
        </w:rPr>
        <w:t>deceleration</w:t>
      </w:r>
      <w:r w:rsidR="0025618C" w:rsidRPr="00F10BF2">
        <w:rPr>
          <w:rFonts w:asciiTheme="majorHAnsi" w:hAnsiTheme="majorHAnsi"/>
        </w:rPr>
        <w:t xml:space="preserve"> from </w:t>
      </w:r>
      <w:r>
        <w:rPr>
          <w:rFonts w:asciiTheme="majorHAnsi" w:hAnsiTheme="majorHAnsi"/>
        </w:rPr>
        <w:t>the 2014 pace but</w:t>
      </w:r>
      <w:r w:rsidR="00BC5060" w:rsidRPr="00F10BF2">
        <w:rPr>
          <w:rFonts w:asciiTheme="majorHAnsi" w:hAnsiTheme="majorHAnsi"/>
        </w:rPr>
        <w:t xml:space="preserve"> factoring</w:t>
      </w:r>
      <w:r w:rsidR="00286954">
        <w:rPr>
          <w:rFonts w:asciiTheme="majorHAnsi" w:hAnsiTheme="majorHAnsi"/>
        </w:rPr>
        <w:t xml:space="preserve"> in</w:t>
      </w:r>
      <w:r w:rsidR="00BC5060" w:rsidRPr="00F10BF2">
        <w:rPr>
          <w:rFonts w:asciiTheme="majorHAnsi" w:hAnsiTheme="majorHAnsi"/>
        </w:rPr>
        <w:t xml:space="preserve"> the ad revenues generated by the non-recurring </w:t>
      </w:r>
      <w:r>
        <w:rPr>
          <w:rFonts w:asciiTheme="majorHAnsi" w:hAnsiTheme="majorHAnsi"/>
        </w:rPr>
        <w:t>events</w:t>
      </w:r>
      <w:r w:rsidR="00BC5060" w:rsidRPr="00F10BF2">
        <w:rPr>
          <w:rFonts w:asciiTheme="majorHAnsi" w:hAnsiTheme="majorHAnsi"/>
        </w:rPr>
        <w:t xml:space="preserve"> of 2014 (mostly the Wi</w:t>
      </w:r>
      <w:r>
        <w:rPr>
          <w:rFonts w:asciiTheme="majorHAnsi" w:hAnsiTheme="majorHAnsi"/>
        </w:rPr>
        <w:t xml:space="preserve">nter Olympics, </w:t>
      </w:r>
      <w:r w:rsidR="00134303">
        <w:rPr>
          <w:rFonts w:asciiTheme="majorHAnsi" w:hAnsiTheme="majorHAnsi"/>
        </w:rPr>
        <w:t>FIFA</w:t>
      </w:r>
      <w:r>
        <w:rPr>
          <w:rFonts w:asciiTheme="majorHAnsi" w:hAnsiTheme="majorHAnsi"/>
        </w:rPr>
        <w:t xml:space="preserve"> World Cup and</w:t>
      </w:r>
      <w:r w:rsidR="00134303">
        <w:rPr>
          <w:rFonts w:asciiTheme="majorHAnsi" w:hAnsiTheme="majorHAnsi"/>
        </w:rPr>
        <w:t xml:space="preserve"> US mid-term e</w:t>
      </w:r>
      <w:r w:rsidR="00BC5060" w:rsidRPr="00F10BF2">
        <w:rPr>
          <w:rFonts w:asciiTheme="majorHAnsi" w:hAnsiTheme="majorHAnsi"/>
        </w:rPr>
        <w:t xml:space="preserve">lections) that accounted for </w:t>
      </w:r>
      <w:r>
        <w:rPr>
          <w:rFonts w:asciiTheme="majorHAnsi" w:hAnsiTheme="majorHAnsi"/>
        </w:rPr>
        <w:t xml:space="preserve">approximately </w:t>
      </w:r>
      <w:r w:rsidR="00BC5060" w:rsidRPr="00F10BF2">
        <w:rPr>
          <w:rFonts w:asciiTheme="majorHAnsi" w:hAnsiTheme="majorHAnsi"/>
        </w:rPr>
        <w:t>one point of incremental ad spend growth, the 2015 g</w:t>
      </w:r>
      <w:r>
        <w:rPr>
          <w:rFonts w:asciiTheme="majorHAnsi" w:hAnsiTheme="majorHAnsi"/>
        </w:rPr>
        <w:t xml:space="preserve">rowth </w:t>
      </w:r>
      <w:r w:rsidR="00516277">
        <w:rPr>
          <w:rFonts w:asciiTheme="majorHAnsi" w:hAnsiTheme="majorHAnsi"/>
        </w:rPr>
        <w:t>should</w:t>
      </w:r>
      <w:r>
        <w:rPr>
          <w:rFonts w:asciiTheme="majorHAnsi" w:hAnsiTheme="majorHAnsi"/>
        </w:rPr>
        <w:t xml:space="preserve"> be </w:t>
      </w:r>
      <w:r w:rsidR="00516277">
        <w:rPr>
          <w:rFonts w:asciiTheme="majorHAnsi" w:hAnsiTheme="majorHAnsi"/>
        </w:rPr>
        <w:t xml:space="preserve">considered </w:t>
      </w:r>
      <w:r w:rsidR="00164041">
        <w:rPr>
          <w:rFonts w:asciiTheme="majorHAnsi" w:hAnsiTheme="majorHAnsi"/>
        </w:rPr>
        <w:t>decent</w:t>
      </w:r>
      <w:r>
        <w:rPr>
          <w:rFonts w:asciiTheme="majorHAnsi" w:hAnsiTheme="majorHAnsi"/>
        </w:rPr>
        <w:t xml:space="preserve"> by recent standards. 2015 is </w:t>
      </w:r>
      <w:r w:rsidR="00134303">
        <w:rPr>
          <w:rFonts w:asciiTheme="majorHAnsi" w:hAnsiTheme="majorHAnsi"/>
        </w:rPr>
        <w:t xml:space="preserve">still </w:t>
      </w:r>
      <w:r>
        <w:rPr>
          <w:rFonts w:asciiTheme="majorHAnsi" w:hAnsiTheme="majorHAnsi"/>
        </w:rPr>
        <w:t>going to be</w:t>
      </w:r>
      <w:r w:rsidR="00BC5060" w:rsidRPr="00F10BF2">
        <w:rPr>
          <w:rFonts w:asciiTheme="majorHAnsi" w:hAnsiTheme="majorHAnsi"/>
        </w:rPr>
        <w:t xml:space="preserve"> </w:t>
      </w:r>
      <w:r>
        <w:rPr>
          <w:rFonts w:asciiTheme="majorHAnsi" w:hAnsiTheme="majorHAnsi"/>
        </w:rPr>
        <w:t>stronger</w:t>
      </w:r>
      <w:r w:rsidR="00134303">
        <w:rPr>
          <w:rFonts w:asciiTheme="majorHAnsi" w:hAnsiTheme="majorHAnsi"/>
        </w:rPr>
        <w:t xml:space="preserve"> </w:t>
      </w:r>
      <w:r w:rsidR="00BC5060" w:rsidRPr="00F10BF2">
        <w:rPr>
          <w:rFonts w:asciiTheme="majorHAnsi" w:hAnsiTheme="majorHAnsi"/>
        </w:rPr>
        <w:t xml:space="preserve">than the growth experienced in the last odd-numbered year </w:t>
      </w:r>
      <w:r w:rsidR="00134303">
        <w:rPr>
          <w:rFonts w:asciiTheme="majorHAnsi" w:hAnsiTheme="majorHAnsi"/>
        </w:rPr>
        <w:t xml:space="preserve">of </w:t>
      </w:r>
      <w:r w:rsidR="00BC5060" w:rsidRPr="00F10BF2">
        <w:rPr>
          <w:rFonts w:asciiTheme="majorHAnsi" w:hAnsiTheme="majorHAnsi"/>
        </w:rPr>
        <w:t>2013 (+4.2%).</w:t>
      </w:r>
    </w:p>
    <w:p w:rsidR="00C46372" w:rsidRPr="00C46372" w:rsidRDefault="00C46372" w:rsidP="00F30AC0">
      <w:pPr>
        <w:rPr>
          <w:rFonts w:asciiTheme="majorHAnsi" w:hAnsiTheme="majorHAnsi"/>
        </w:rPr>
      </w:pPr>
      <w:r w:rsidRPr="00C46372">
        <w:rPr>
          <w:rFonts w:asciiTheme="majorHAnsi" w:hAnsiTheme="majorHAnsi"/>
        </w:rPr>
        <w:t>This acceleration in the underlying growth rate reflects</w:t>
      </w:r>
      <w:r>
        <w:rPr>
          <w:rFonts w:asciiTheme="majorHAnsi" w:hAnsiTheme="majorHAnsi"/>
        </w:rPr>
        <w:t xml:space="preserve"> a general improvement in </w:t>
      </w:r>
      <w:r w:rsidR="00134303">
        <w:rPr>
          <w:rFonts w:asciiTheme="majorHAnsi" w:hAnsiTheme="majorHAnsi"/>
        </w:rPr>
        <w:t xml:space="preserve">the current </w:t>
      </w:r>
      <w:r>
        <w:rPr>
          <w:rFonts w:asciiTheme="majorHAnsi" w:hAnsiTheme="majorHAnsi"/>
        </w:rPr>
        <w:t xml:space="preserve">macro-economic expectations for </w:t>
      </w:r>
      <w:r w:rsidR="00134303">
        <w:rPr>
          <w:rFonts w:asciiTheme="majorHAnsi" w:hAnsiTheme="majorHAnsi"/>
        </w:rPr>
        <w:t>2015</w:t>
      </w:r>
      <w:r>
        <w:rPr>
          <w:rFonts w:asciiTheme="majorHAnsi" w:hAnsiTheme="majorHAnsi"/>
        </w:rPr>
        <w:t>. In its October 2014 forecast</w:t>
      </w:r>
      <w:r w:rsidR="00134303">
        <w:rPr>
          <w:rFonts w:asciiTheme="majorHAnsi" w:hAnsiTheme="majorHAnsi"/>
        </w:rPr>
        <w:t xml:space="preserve"> update</w:t>
      </w:r>
      <w:r>
        <w:rPr>
          <w:rFonts w:asciiTheme="majorHAnsi" w:hAnsiTheme="majorHAnsi"/>
        </w:rPr>
        <w:t xml:space="preserve">, the IMF anticipates global output (real GDP) to grow by +3.8%, which is marginally below </w:t>
      </w:r>
      <w:r w:rsidR="00134303">
        <w:rPr>
          <w:rFonts w:asciiTheme="majorHAnsi" w:hAnsiTheme="majorHAnsi"/>
        </w:rPr>
        <w:t>its</w:t>
      </w:r>
      <w:r>
        <w:rPr>
          <w:rFonts w:asciiTheme="majorHAnsi" w:hAnsiTheme="majorHAnsi"/>
        </w:rPr>
        <w:t xml:space="preserve"> April forecast but still significantly stronger the level of economic growth recorded in 2014 and 2013 (+3.3% in both years).</w:t>
      </w:r>
    </w:p>
    <w:p w:rsidR="00164041" w:rsidRDefault="00164041" w:rsidP="00F30AC0">
      <w:pPr>
        <w:rPr>
          <w:rFonts w:asciiTheme="majorHAnsi" w:hAnsiTheme="majorHAnsi"/>
        </w:rPr>
      </w:pPr>
      <w:r>
        <w:rPr>
          <w:rFonts w:asciiTheme="majorHAnsi" w:hAnsiTheme="majorHAnsi"/>
        </w:rPr>
        <w:t>Behind</w:t>
      </w:r>
      <w:r w:rsidR="00F30AC0" w:rsidRPr="00164041">
        <w:rPr>
          <w:rFonts w:asciiTheme="majorHAnsi" w:hAnsiTheme="majorHAnsi"/>
        </w:rPr>
        <w:t xml:space="preserve"> the apparent stability of our </w:t>
      </w:r>
      <w:r w:rsidR="002E3A37" w:rsidRPr="00164041">
        <w:rPr>
          <w:rFonts w:asciiTheme="majorHAnsi" w:hAnsiTheme="majorHAnsi"/>
        </w:rPr>
        <w:t>top-line</w:t>
      </w:r>
      <w:r w:rsidR="00F30AC0" w:rsidRPr="00164041">
        <w:rPr>
          <w:rFonts w:asciiTheme="majorHAnsi" w:hAnsiTheme="majorHAnsi"/>
        </w:rPr>
        <w:t xml:space="preserve"> growth forecast</w:t>
      </w:r>
      <w:r>
        <w:rPr>
          <w:rFonts w:asciiTheme="majorHAnsi" w:hAnsiTheme="majorHAnsi"/>
        </w:rPr>
        <w:t xml:space="preserve"> for 2015</w:t>
      </w:r>
      <w:r w:rsidR="00F30AC0" w:rsidRPr="00164041">
        <w:rPr>
          <w:rFonts w:asciiTheme="majorHAnsi" w:hAnsiTheme="majorHAnsi"/>
        </w:rPr>
        <w:t xml:space="preserve">, some significant revisions have been made on a </w:t>
      </w:r>
      <w:r>
        <w:rPr>
          <w:rFonts w:asciiTheme="majorHAnsi" w:hAnsiTheme="majorHAnsi"/>
        </w:rPr>
        <w:t xml:space="preserve">regional and </w:t>
      </w:r>
      <w:r w:rsidR="00F30AC0" w:rsidRPr="00164041">
        <w:rPr>
          <w:rFonts w:asciiTheme="majorHAnsi" w:hAnsiTheme="majorHAnsi"/>
        </w:rPr>
        <w:t xml:space="preserve">country basis. </w:t>
      </w:r>
      <w:r>
        <w:rPr>
          <w:rFonts w:asciiTheme="majorHAnsi" w:hAnsiTheme="majorHAnsi"/>
        </w:rPr>
        <w:t>Compared to our last global update in June, we increase the growth expectation for North America (from +2.5% to +2.8%), for Western Europe (from +2.5% to +2.8%) and for Latin America (from +11.5% to +12.9%). On the other hand, we reduce our forecast for Asia Pacific (from +6.9% to +6.4%) and for Central &amp; Eastern Europe (CEE) (from +6.4% to +3.0%)</w:t>
      </w:r>
      <w:r w:rsidR="003047BE">
        <w:rPr>
          <w:rFonts w:asciiTheme="majorHAnsi" w:hAnsiTheme="majorHAnsi"/>
        </w:rPr>
        <w:t>.</w:t>
      </w:r>
    </w:p>
    <w:p w:rsidR="00164041" w:rsidRDefault="00164041" w:rsidP="00F30AC0">
      <w:pPr>
        <w:rPr>
          <w:rFonts w:asciiTheme="majorHAnsi" w:hAnsiTheme="majorHAnsi"/>
        </w:rPr>
      </w:pPr>
      <w:r>
        <w:rPr>
          <w:rFonts w:asciiTheme="majorHAnsi" w:hAnsiTheme="majorHAnsi"/>
        </w:rPr>
        <w:t>Looking at individual markets</w:t>
      </w:r>
      <w:r w:rsidR="00976CC6">
        <w:rPr>
          <w:rFonts w:asciiTheme="majorHAnsi" w:hAnsiTheme="majorHAnsi"/>
        </w:rPr>
        <w:t>,</w:t>
      </w:r>
      <w:r w:rsidR="003047BE">
        <w:rPr>
          <w:rFonts w:asciiTheme="majorHAnsi" w:hAnsiTheme="majorHAnsi"/>
        </w:rPr>
        <w:t xml:space="preserve"> some of the most significant</w:t>
      </w:r>
      <w:r w:rsidR="0083588D" w:rsidRPr="00164041">
        <w:rPr>
          <w:rFonts w:asciiTheme="majorHAnsi" w:hAnsiTheme="majorHAnsi"/>
        </w:rPr>
        <w:t xml:space="preserve"> </w:t>
      </w:r>
      <w:r w:rsidR="00CF5A35">
        <w:rPr>
          <w:rFonts w:asciiTheme="majorHAnsi" w:hAnsiTheme="majorHAnsi"/>
        </w:rPr>
        <w:t xml:space="preserve">revisions </w:t>
      </w:r>
      <w:r w:rsidR="00976CC6">
        <w:rPr>
          <w:rFonts w:asciiTheme="majorHAnsi" w:hAnsiTheme="majorHAnsi"/>
        </w:rPr>
        <w:t xml:space="preserve">in our 2015 forecasts </w:t>
      </w:r>
      <w:r w:rsidR="00CF5A35">
        <w:rPr>
          <w:rFonts w:asciiTheme="majorHAnsi" w:hAnsiTheme="majorHAnsi"/>
        </w:rPr>
        <w:t>are found</w:t>
      </w:r>
      <w:r w:rsidR="003047BE">
        <w:rPr>
          <w:rFonts w:asciiTheme="majorHAnsi" w:hAnsiTheme="majorHAnsi"/>
        </w:rPr>
        <w:t xml:space="preserve"> </w:t>
      </w:r>
      <w:r w:rsidR="001F1EA5">
        <w:rPr>
          <w:rFonts w:asciiTheme="majorHAnsi" w:hAnsiTheme="majorHAnsi"/>
        </w:rPr>
        <w:t>among</w:t>
      </w:r>
      <w:r w:rsidR="003047BE">
        <w:rPr>
          <w:rFonts w:asciiTheme="majorHAnsi" w:hAnsiTheme="majorHAnsi"/>
        </w:rPr>
        <w:t xml:space="preserve"> BRIC </w:t>
      </w:r>
      <w:r w:rsidR="001F1EA5">
        <w:rPr>
          <w:rFonts w:asciiTheme="majorHAnsi" w:hAnsiTheme="majorHAnsi"/>
        </w:rPr>
        <w:t>markets</w:t>
      </w:r>
      <w:r w:rsidR="003047BE">
        <w:rPr>
          <w:rFonts w:asciiTheme="majorHAnsi" w:hAnsiTheme="majorHAnsi"/>
        </w:rPr>
        <w:t xml:space="preserve">. </w:t>
      </w:r>
      <w:r w:rsidR="003047BE" w:rsidRPr="00976CC6">
        <w:rPr>
          <w:rFonts w:asciiTheme="majorHAnsi" w:hAnsiTheme="majorHAnsi"/>
          <w:b/>
        </w:rPr>
        <w:t>China</w:t>
      </w:r>
      <w:r w:rsidR="003047BE">
        <w:rPr>
          <w:rFonts w:asciiTheme="majorHAnsi" w:hAnsiTheme="majorHAnsi"/>
        </w:rPr>
        <w:t xml:space="preserve"> and</w:t>
      </w:r>
      <w:r w:rsidR="00CF5A35">
        <w:rPr>
          <w:rFonts w:asciiTheme="majorHAnsi" w:hAnsiTheme="majorHAnsi"/>
        </w:rPr>
        <w:t xml:space="preserve"> </w:t>
      </w:r>
      <w:r w:rsidR="00CF5A35" w:rsidRPr="00976CC6">
        <w:rPr>
          <w:rFonts w:asciiTheme="majorHAnsi" w:hAnsiTheme="majorHAnsi"/>
          <w:b/>
        </w:rPr>
        <w:t>Brazil</w:t>
      </w:r>
      <w:r w:rsidR="00CF5A35">
        <w:rPr>
          <w:rFonts w:asciiTheme="majorHAnsi" w:hAnsiTheme="majorHAnsi"/>
        </w:rPr>
        <w:t xml:space="preserve"> </w:t>
      </w:r>
      <w:r w:rsidR="003047BE">
        <w:rPr>
          <w:rFonts w:asciiTheme="majorHAnsi" w:hAnsiTheme="majorHAnsi"/>
        </w:rPr>
        <w:t xml:space="preserve">advertising revenues </w:t>
      </w:r>
      <w:r w:rsidR="00CF5A35">
        <w:rPr>
          <w:rFonts w:asciiTheme="majorHAnsi" w:hAnsiTheme="majorHAnsi"/>
        </w:rPr>
        <w:t xml:space="preserve">are </w:t>
      </w:r>
      <w:r w:rsidR="003047BE">
        <w:rPr>
          <w:rFonts w:asciiTheme="majorHAnsi" w:hAnsiTheme="majorHAnsi"/>
        </w:rPr>
        <w:t xml:space="preserve">still </w:t>
      </w:r>
      <w:r w:rsidR="00CF5A35">
        <w:rPr>
          <w:rFonts w:asciiTheme="majorHAnsi" w:hAnsiTheme="majorHAnsi"/>
        </w:rPr>
        <w:t xml:space="preserve">predicted to grow </w:t>
      </w:r>
      <w:r w:rsidR="003047BE">
        <w:rPr>
          <w:rFonts w:asciiTheme="majorHAnsi" w:hAnsiTheme="majorHAnsi"/>
        </w:rPr>
        <w:t xml:space="preserve">by a decent amount </w:t>
      </w:r>
      <w:r w:rsidR="00134303">
        <w:rPr>
          <w:rFonts w:asciiTheme="majorHAnsi" w:hAnsiTheme="majorHAnsi"/>
        </w:rPr>
        <w:t xml:space="preserve">(+8.6% and +5.9% respectively) </w:t>
      </w:r>
      <w:r w:rsidR="003047BE">
        <w:rPr>
          <w:rFonts w:asciiTheme="majorHAnsi" w:hAnsiTheme="majorHAnsi"/>
        </w:rPr>
        <w:t xml:space="preserve">although two to three points </w:t>
      </w:r>
      <w:r w:rsidR="003047BE" w:rsidRPr="00976CC6">
        <w:rPr>
          <w:rFonts w:asciiTheme="majorHAnsi" w:hAnsiTheme="majorHAnsi"/>
          <w:i/>
        </w:rPr>
        <w:t>below</w:t>
      </w:r>
      <w:r w:rsidR="003047BE">
        <w:rPr>
          <w:rFonts w:asciiTheme="majorHAnsi" w:hAnsiTheme="majorHAnsi"/>
        </w:rPr>
        <w:t xml:space="preserve"> previous expectations</w:t>
      </w:r>
      <w:r w:rsidR="00134303">
        <w:rPr>
          <w:rFonts w:asciiTheme="majorHAnsi" w:hAnsiTheme="majorHAnsi"/>
        </w:rPr>
        <w:t>.</w:t>
      </w:r>
      <w:r w:rsidR="003047BE">
        <w:rPr>
          <w:rFonts w:asciiTheme="majorHAnsi" w:hAnsiTheme="majorHAnsi"/>
        </w:rPr>
        <w:t xml:space="preserve"> </w:t>
      </w:r>
      <w:r w:rsidR="003047BE" w:rsidRPr="00976CC6">
        <w:rPr>
          <w:rFonts w:asciiTheme="majorHAnsi" w:hAnsiTheme="majorHAnsi"/>
          <w:b/>
        </w:rPr>
        <w:t>Russia</w:t>
      </w:r>
      <w:r w:rsidR="00134303">
        <w:rPr>
          <w:rFonts w:asciiTheme="majorHAnsi" w:hAnsiTheme="majorHAnsi"/>
        </w:rPr>
        <w:t xml:space="preserve"> </w:t>
      </w:r>
      <w:r w:rsidR="003047BE">
        <w:rPr>
          <w:rFonts w:asciiTheme="majorHAnsi" w:hAnsiTheme="majorHAnsi"/>
        </w:rPr>
        <w:t xml:space="preserve">is the single biggest negative revision, </w:t>
      </w:r>
      <w:r w:rsidR="00973EA4">
        <w:rPr>
          <w:rFonts w:asciiTheme="majorHAnsi" w:hAnsiTheme="majorHAnsi"/>
        </w:rPr>
        <w:t>due to</w:t>
      </w:r>
      <w:r w:rsidR="003047BE">
        <w:rPr>
          <w:rFonts w:asciiTheme="majorHAnsi" w:hAnsiTheme="majorHAnsi"/>
        </w:rPr>
        <w:t xml:space="preserve"> the combination of declining energy prices and </w:t>
      </w:r>
      <w:r w:rsidR="00DA1CD4">
        <w:rPr>
          <w:rFonts w:asciiTheme="majorHAnsi" w:hAnsiTheme="majorHAnsi"/>
        </w:rPr>
        <w:t xml:space="preserve">the partial withdrawal of Western investors </w:t>
      </w:r>
      <w:r w:rsidR="00973EA4">
        <w:rPr>
          <w:rFonts w:asciiTheme="majorHAnsi" w:hAnsiTheme="majorHAnsi"/>
        </w:rPr>
        <w:t>amidst</w:t>
      </w:r>
      <w:r w:rsidR="00DA1CD4">
        <w:rPr>
          <w:rFonts w:asciiTheme="majorHAnsi" w:hAnsiTheme="majorHAnsi"/>
        </w:rPr>
        <w:t xml:space="preserve"> geopolitical tensions; the 2015 advertising growth forecast is cut from +7.0% to +0.8%. </w:t>
      </w:r>
      <w:r w:rsidR="00DA1CD4" w:rsidRPr="00976CC6">
        <w:rPr>
          <w:rFonts w:asciiTheme="majorHAnsi" w:hAnsiTheme="majorHAnsi"/>
          <w:b/>
        </w:rPr>
        <w:t>India</w:t>
      </w:r>
      <w:r w:rsidR="00DA1CD4">
        <w:rPr>
          <w:rFonts w:asciiTheme="majorHAnsi" w:hAnsiTheme="majorHAnsi"/>
        </w:rPr>
        <w:t xml:space="preserve"> will thus become the most dynamic among the four </w:t>
      </w:r>
      <w:proofErr w:type="gramStart"/>
      <w:r w:rsidR="00DA1CD4">
        <w:rPr>
          <w:rFonts w:asciiTheme="majorHAnsi" w:hAnsiTheme="majorHAnsi"/>
        </w:rPr>
        <w:t>BRICs,</w:t>
      </w:r>
      <w:proofErr w:type="gramEnd"/>
      <w:r w:rsidR="00DA1CD4">
        <w:rPr>
          <w:rFonts w:asciiTheme="majorHAnsi" w:hAnsiTheme="majorHAnsi"/>
        </w:rPr>
        <w:t xml:space="preserve"> with an expect</w:t>
      </w:r>
      <w:r w:rsidR="00973EA4">
        <w:rPr>
          <w:rFonts w:asciiTheme="majorHAnsi" w:hAnsiTheme="majorHAnsi"/>
        </w:rPr>
        <w:t>ed</w:t>
      </w:r>
      <w:r w:rsidR="00DA1CD4">
        <w:rPr>
          <w:rFonts w:asciiTheme="majorHAnsi" w:hAnsiTheme="majorHAnsi"/>
        </w:rPr>
        <w:t xml:space="preserve"> ad spend growth of +13.3% following a similar pace in 2014</w:t>
      </w:r>
      <w:r w:rsidR="00973EA4">
        <w:rPr>
          <w:rFonts w:asciiTheme="majorHAnsi" w:hAnsiTheme="majorHAnsi"/>
        </w:rPr>
        <w:t xml:space="preserve"> (+13.2%)</w:t>
      </w:r>
      <w:r w:rsidR="00DA1CD4">
        <w:rPr>
          <w:rFonts w:asciiTheme="majorHAnsi" w:hAnsiTheme="majorHAnsi"/>
        </w:rPr>
        <w:t>.</w:t>
      </w:r>
      <w:r w:rsidR="00976CC6">
        <w:rPr>
          <w:rFonts w:asciiTheme="majorHAnsi" w:hAnsiTheme="majorHAnsi"/>
        </w:rPr>
        <w:t xml:space="preserve"> The b</w:t>
      </w:r>
      <w:r w:rsidR="001F1EA5">
        <w:rPr>
          <w:rFonts w:asciiTheme="majorHAnsi" w:hAnsiTheme="majorHAnsi"/>
        </w:rPr>
        <w:t xml:space="preserve">iggest upwards </w:t>
      </w:r>
      <w:r w:rsidR="004269E5">
        <w:rPr>
          <w:rFonts w:asciiTheme="majorHAnsi" w:hAnsiTheme="majorHAnsi"/>
        </w:rPr>
        <w:t xml:space="preserve">2015 </w:t>
      </w:r>
      <w:r w:rsidR="001F1EA5">
        <w:rPr>
          <w:rFonts w:asciiTheme="majorHAnsi" w:hAnsiTheme="majorHAnsi"/>
        </w:rPr>
        <w:t xml:space="preserve">revisions come from </w:t>
      </w:r>
      <w:r w:rsidR="001F1EA5" w:rsidRPr="001F1EA5">
        <w:rPr>
          <w:rFonts w:asciiTheme="majorHAnsi" w:hAnsiTheme="majorHAnsi"/>
          <w:b/>
        </w:rPr>
        <w:t>Indonesia</w:t>
      </w:r>
      <w:r w:rsidR="001F1EA5">
        <w:rPr>
          <w:rFonts w:asciiTheme="majorHAnsi" w:hAnsiTheme="majorHAnsi"/>
        </w:rPr>
        <w:t xml:space="preserve"> (from 13% to 17%) and </w:t>
      </w:r>
      <w:r w:rsidR="001F1EA5" w:rsidRPr="001F1EA5">
        <w:rPr>
          <w:rFonts w:asciiTheme="majorHAnsi" w:hAnsiTheme="majorHAnsi"/>
          <w:b/>
        </w:rPr>
        <w:t>Argentina</w:t>
      </w:r>
      <w:r w:rsidR="001F1EA5">
        <w:rPr>
          <w:rFonts w:asciiTheme="majorHAnsi" w:hAnsiTheme="majorHAnsi"/>
        </w:rPr>
        <w:t xml:space="preserve"> (+22% to +36%) and the most significant among top 10 markets comes from the </w:t>
      </w:r>
      <w:r w:rsidR="001F1EA5" w:rsidRPr="001F1EA5">
        <w:rPr>
          <w:rFonts w:asciiTheme="majorHAnsi" w:hAnsiTheme="majorHAnsi"/>
          <w:b/>
        </w:rPr>
        <w:t>UK</w:t>
      </w:r>
      <w:r w:rsidR="001F1EA5">
        <w:rPr>
          <w:rFonts w:asciiTheme="majorHAnsi" w:hAnsiTheme="majorHAnsi"/>
        </w:rPr>
        <w:t xml:space="preserve"> (from +3% to +4.7%).</w:t>
      </w:r>
    </w:p>
    <w:p w:rsidR="00516277" w:rsidRDefault="00516277" w:rsidP="00F30AC0">
      <w:pPr>
        <w:rPr>
          <w:rFonts w:asciiTheme="majorHAnsi" w:hAnsiTheme="majorHAnsi"/>
        </w:rPr>
      </w:pPr>
      <w:r>
        <w:rPr>
          <w:rFonts w:asciiTheme="majorHAnsi" w:hAnsiTheme="majorHAnsi"/>
        </w:rPr>
        <w:t>According to Vincent Letang, MAGNA GLOBAL’s director of global forecasting</w:t>
      </w:r>
      <w:r w:rsidR="004269E5">
        <w:rPr>
          <w:rFonts w:asciiTheme="majorHAnsi" w:hAnsiTheme="majorHAnsi"/>
        </w:rPr>
        <w:t xml:space="preserve"> and author of the report</w:t>
      </w:r>
      <w:r>
        <w:rPr>
          <w:rFonts w:asciiTheme="majorHAnsi" w:hAnsiTheme="majorHAnsi"/>
        </w:rPr>
        <w:t xml:space="preserve">: </w:t>
      </w:r>
      <w:r w:rsidRPr="00516277">
        <w:rPr>
          <w:rFonts w:asciiTheme="majorHAnsi" w:hAnsiTheme="majorHAnsi"/>
          <w:i/>
        </w:rPr>
        <w:t>“In 2014, the long-awaited European recovery finally came in time to partly offset a weaker-</w:t>
      </w:r>
      <w:r w:rsidRPr="00516277">
        <w:rPr>
          <w:rFonts w:asciiTheme="majorHAnsi" w:hAnsiTheme="majorHAnsi"/>
          <w:i/>
        </w:rPr>
        <w:lastRenderedPageBreak/>
        <w:t>than-expected growth in the US and the BRIC</w:t>
      </w:r>
      <w:r w:rsidR="007024BE">
        <w:rPr>
          <w:rFonts w:asciiTheme="majorHAnsi" w:hAnsiTheme="majorHAnsi"/>
          <w:i/>
        </w:rPr>
        <w:t>s</w:t>
      </w:r>
      <w:r w:rsidRPr="00516277">
        <w:rPr>
          <w:rFonts w:asciiTheme="majorHAnsi" w:hAnsiTheme="majorHAnsi"/>
          <w:i/>
        </w:rPr>
        <w:t>. In 2015</w:t>
      </w:r>
      <w:r w:rsidR="007024BE">
        <w:rPr>
          <w:rFonts w:asciiTheme="majorHAnsi" w:hAnsiTheme="majorHAnsi"/>
          <w:i/>
        </w:rPr>
        <w:t>,</w:t>
      </w:r>
      <w:r w:rsidRPr="00516277">
        <w:rPr>
          <w:rFonts w:asciiTheme="majorHAnsi" w:hAnsiTheme="majorHAnsi"/>
          <w:i/>
        </w:rPr>
        <w:t xml:space="preserve"> the lack of non-recurring events, the continued slowdown of the BRICs and the deflationary effects generated by the rise of digital media will inhibit global advertising growth, in a slight disconnect with the positive acceleration in the macro-economic environment”.</w:t>
      </w:r>
    </w:p>
    <w:p w:rsidR="00DA1CD4" w:rsidRDefault="00DA1CD4" w:rsidP="00DA1CD4">
      <w:pPr>
        <w:pStyle w:val="Heading1"/>
      </w:pPr>
      <w:r>
        <w:t>Western Europe</w:t>
      </w:r>
      <w:r w:rsidR="00B40518">
        <w:t xml:space="preserve">: </w:t>
      </w:r>
      <w:r w:rsidR="000B4C26">
        <w:t xml:space="preserve">Britannia Rules </w:t>
      </w:r>
      <w:r w:rsidR="009361C4">
        <w:t xml:space="preserve">and the </w:t>
      </w:r>
      <w:r w:rsidR="00697880">
        <w:t xml:space="preserve">Eurozone </w:t>
      </w:r>
      <w:r w:rsidR="009361C4">
        <w:t xml:space="preserve">Periphery in </w:t>
      </w:r>
      <w:r w:rsidR="000B4C26">
        <w:t>“V”-Shaped</w:t>
      </w:r>
      <w:r w:rsidR="009361C4">
        <w:t xml:space="preserve"> Recovery Mode</w:t>
      </w:r>
    </w:p>
    <w:p w:rsidR="009361C4" w:rsidRDefault="00164041" w:rsidP="00F30AC0">
      <w:pPr>
        <w:rPr>
          <w:rFonts w:asciiTheme="majorHAnsi" w:hAnsiTheme="majorHAnsi"/>
        </w:rPr>
      </w:pPr>
      <w:r w:rsidRPr="00164041">
        <w:rPr>
          <w:rFonts w:asciiTheme="majorHAnsi" w:hAnsiTheme="majorHAnsi"/>
        </w:rPr>
        <w:t>As predicte</w:t>
      </w:r>
      <w:r w:rsidR="00516277">
        <w:rPr>
          <w:rFonts w:asciiTheme="majorHAnsi" w:hAnsiTheme="majorHAnsi"/>
        </w:rPr>
        <w:t>d</w:t>
      </w:r>
      <w:r w:rsidRPr="00164041">
        <w:rPr>
          <w:rFonts w:asciiTheme="majorHAnsi" w:hAnsiTheme="majorHAnsi"/>
        </w:rPr>
        <w:t xml:space="preserve"> </w:t>
      </w:r>
      <w:r w:rsidRPr="004A26AD">
        <w:rPr>
          <w:rFonts w:asciiTheme="majorHAnsi" w:hAnsiTheme="majorHAnsi"/>
          <w:b/>
        </w:rPr>
        <w:t>Western Europe</w:t>
      </w:r>
      <w:r w:rsidRPr="00164041">
        <w:rPr>
          <w:rFonts w:asciiTheme="majorHAnsi" w:hAnsiTheme="majorHAnsi"/>
        </w:rPr>
        <w:t xml:space="preserve"> finally returned to growth this year (+3.0%) and we are expecting a similar growth in 2015 (+2.8%).</w:t>
      </w:r>
    </w:p>
    <w:p w:rsidR="00161FDD" w:rsidRDefault="000F12DC" w:rsidP="00F30AC0">
      <w:pPr>
        <w:rPr>
          <w:rFonts w:asciiTheme="majorHAnsi" w:hAnsiTheme="majorHAnsi"/>
        </w:rPr>
      </w:pPr>
      <w:r>
        <w:rPr>
          <w:rFonts w:asciiTheme="majorHAnsi" w:hAnsiTheme="majorHAnsi"/>
        </w:rPr>
        <w:t xml:space="preserve">Once again the </w:t>
      </w:r>
      <w:r w:rsidRPr="000B4C26">
        <w:rPr>
          <w:rFonts w:asciiTheme="majorHAnsi" w:hAnsiTheme="majorHAnsi"/>
          <w:b/>
        </w:rPr>
        <w:t>UK</w:t>
      </w:r>
      <w:r>
        <w:rPr>
          <w:rFonts w:asciiTheme="majorHAnsi" w:hAnsiTheme="majorHAnsi"/>
        </w:rPr>
        <w:t xml:space="preserve"> </w:t>
      </w:r>
      <w:r w:rsidR="004A26AD">
        <w:rPr>
          <w:rFonts w:asciiTheme="majorHAnsi" w:hAnsiTheme="majorHAnsi"/>
        </w:rPr>
        <w:t>advertising market increased strongly</w:t>
      </w:r>
      <w:r>
        <w:rPr>
          <w:rFonts w:asciiTheme="majorHAnsi" w:hAnsiTheme="majorHAnsi"/>
        </w:rPr>
        <w:t xml:space="preserve"> this year (+7.7%), driven by television (+5.4%) and digital media (+16.8%)</w:t>
      </w:r>
      <w:r w:rsidR="009361C4">
        <w:rPr>
          <w:rFonts w:asciiTheme="majorHAnsi" w:hAnsiTheme="majorHAnsi"/>
        </w:rPr>
        <w:t xml:space="preserve"> in the wake of a buoyant economic environment (real GDP +3.2%)</w:t>
      </w:r>
      <w:r>
        <w:rPr>
          <w:rFonts w:asciiTheme="majorHAnsi" w:hAnsiTheme="majorHAnsi"/>
        </w:rPr>
        <w:t xml:space="preserve">. </w:t>
      </w:r>
      <w:r w:rsidR="009361C4">
        <w:rPr>
          <w:rFonts w:asciiTheme="majorHAnsi" w:hAnsiTheme="majorHAnsi"/>
        </w:rPr>
        <w:t>Television benefitted from incremental spend generated around the FIFA World Cup (partly broadcast on commercial network ITV) and the scarcity created by an unexpected drop in audience levels in the first quarter generated double-digit CPM inflation in the first half of the year.</w:t>
      </w:r>
    </w:p>
    <w:p w:rsidR="00161FDD" w:rsidRDefault="000F12DC" w:rsidP="00F30AC0">
      <w:pPr>
        <w:rPr>
          <w:rFonts w:asciiTheme="majorHAnsi" w:hAnsiTheme="majorHAnsi"/>
        </w:rPr>
      </w:pPr>
      <w:r>
        <w:rPr>
          <w:rFonts w:asciiTheme="majorHAnsi" w:hAnsiTheme="majorHAnsi"/>
        </w:rPr>
        <w:t xml:space="preserve">At the same time, the </w:t>
      </w:r>
      <w:r w:rsidRPr="009361C4">
        <w:rPr>
          <w:rFonts w:asciiTheme="majorHAnsi" w:hAnsiTheme="majorHAnsi"/>
          <w:b/>
        </w:rPr>
        <w:t>Eurozone periphery</w:t>
      </w:r>
      <w:r w:rsidR="00B40518">
        <w:rPr>
          <w:rFonts w:asciiTheme="majorHAnsi" w:hAnsiTheme="majorHAnsi"/>
        </w:rPr>
        <w:t xml:space="preserve"> markets</w:t>
      </w:r>
      <w:r>
        <w:rPr>
          <w:rFonts w:asciiTheme="majorHAnsi" w:hAnsiTheme="majorHAnsi"/>
        </w:rPr>
        <w:t xml:space="preserve">, which </w:t>
      </w:r>
      <w:r w:rsidR="004A26AD">
        <w:rPr>
          <w:rFonts w:asciiTheme="majorHAnsi" w:hAnsiTheme="majorHAnsi"/>
        </w:rPr>
        <w:t xml:space="preserve">had </w:t>
      </w:r>
      <w:r>
        <w:rPr>
          <w:rFonts w:asciiTheme="majorHAnsi" w:hAnsiTheme="majorHAnsi"/>
        </w:rPr>
        <w:t>suffered the most from economic recession and advertising recession over the last five or six years</w:t>
      </w:r>
      <w:r w:rsidR="004A26AD">
        <w:rPr>
          <w:rFonts w:asciiTheme="majorHAnsi" w:hAnsiTheme="majorHAnsi"/>
        </w:rPr>
        <w:t>,</w:t>
      </w:r>
      <w:r>
        <w:rPr>
          <w:rFonts w:asciiTheme="majorHAnsi" w:hAnsiTheme="majorHAnsi"/>
        </w:rPr>
        <w:t xml:space="preserve"> </w:t>
      </w:r>
      <w:r w:rsidR="00B40518">
        <w:rPr>
          <w:rFonts w:asciiTheme="majorHAnsi" w:hAnsiTheme="majorHAnsi"/>
        </w:rPr>
        <w:t xml:space="preserve">have </w:t>
      </w:r>
      <w:r>
        <w:rPr>
          <w:rFonts w:asciiTheme="majorHAnsi" w:hAnsiTheme="majorHAnsi"/>
        </w:rPr>
        <w:t xml:space="preserve">finally </w:t>
      </w:r>
      <w:r w:rsidR="00B40518">
        <w:rPr>
          <w:rFonts w:asciiTheme="majorHAnsi" w:hAnsiTheme="majorHAnsi"/>
        </w:rPr>
        <w:t>experienced</w:t>
      </w:r>
      <w:r>
        <w:rPr>
          <w:rFonts w:asciiTheme="majorHAnsi" w:hAnsiTheme="majorHAnsi"/>
        </w:rPr>
        <w:t xml:space="preserve"> the long-awaited recovery (Greece +7.7%, Spain +5.6%, Portugal +12%, Ireland +3.6%). </w:t>
      </w:r>
      <w:r w:rsidR="002D7495">
        <w:rPr>
          <w:rFonts w:asciiTheme="majorHAnsi" w:hAnsiTheme="majorHAnsi"/>
        </w:rPr>
        <w:t>Television pricing, recovering</w:t>
      </w:r>
      <w:r>
        <w:rPr>
          <w:rFonts w:asciiTheme="majorHAnsi" w:hAnsiTheme="majorHAnsi"/>
        </w:rPr>
        <w:t xml:space="preserve"> from the rock-bottom lows reached in 2013, was one of the key catalysts of that strong rebound</w:t>
      </w:r>
      <w:r w:rsidR="002D7495">
        <w:rPr>
          <w:rFonts w:asciiTheme="majorHAnsi" w:hAnsiTheme="majorHAnsi"/>
        </w:rPr>
        <w:t>, as soon as the economic environment</w:t>
      </w:r>
      <w:r w:rsidR="00516277">
        <w:rPr>
          <w:rFonts w:asciiTheme="majorHAnsi" w:hAnsiTheme="majorHAnsi"/>
        </w:rPr>
        <w:t xml:space="preserve"> merely</w:t>
      </w:r>
      <w:r w:rsidR="002D7495">
        <w:rPr>
          <w:rFonts w:asciiTheme="majorHAnsi" w:hAnsiTheme="majorHAnsi"/>
        </w:rPr>
        <w:t xml:space="preserve"> stabilized</w:t>
      </w:r>
      <w:r>
        <w:rPr>
          <w:rFonts w:asciiTheme="majorHAnsi" w:hAnsiTheme="majorHAnsi"/>
        </w:rPr>
        <w:t>. We believe all those</w:t>
      </w:r>
      <w:r w:rsidR="002D7495">
        <w:rPr>
          <w:rFonts w:asciiTheme="majorHAnsi" w:hAnsiTheme="majorHAnsi"/>
        </w:rPr>
        <w:t xml:space="preserve"> markets will experience high-single digit growth again in 2015 even though the ec</w:t>
      </w:r>
      <w:r w:rsidR="00161FDD">
        <w:rPr>
          <w:rFonts w:asciiTheme="majorHAnsi" w:hAnsiTheme="majorHAnsi"/>
        </w:rPr>
        <w:t>onomic recovery remains modest.</w:t>
      </w:r>
      <w:r w:rsidR="009361C4">
        <w:rPr>
          <w:rFonts w:asciiTheme="majorHAnsi" w:hAnsiTheme="majorHAnsi"/>
        </w:rPr>
        <w:t xml:space="preserve"> The sub-region grew by +6% this year and media revenues are expected to increase by +6.6% next year.</w:t>
      </w:r>
    </w:p>
    <w:p w:rsidR="00B40518" w:rsidRDefault="002D7495" w:rsidP="00F30AC0">
      <w:pPr>
        <w:rPr>
          <w:rFonts w:asciiTheme="majorHAnsi" w:hAnsiTheme="majorHAnsi"/>
        </w:rPr>
      </w:pPr>
      <w:r>
        <w:rPr>
          <w:rFonts w:asciiTheme="majorHAnsi" w:hAnsiTheme="majorHAnsi"/>
        </w:rPr>
        <w:t>Finally a third group of market</w:t>
      </w:r>
      <w:r w:rsidR="004A26AD">
        <w:rPr>
          <w:rFonts w:asciiTheme="majorHAnsi" w:hAnsiTheme="majorHAnsi"/>
        </w:rPr>
        <w:t>s</w:t>
      </w:r>
      <w:r>
        <w:rPr>
          <w:rFonts w:asciiTheme="majorHAnsi" w:hAnsiTheme="majorHAnsi"/>
        </w:rPr>
        <w:t xml:space="preserve"> is displaying little or no g</w:t>
      </w:r>
      <w:r w:rsidR="004A26AD">
        <w:rPr>
          <w:rFonts w:asciiTheme="majorHAnsi" w:hAnsiTheme="majorHAnsi"/>
        </w:rPr>
        <w:t xml:space="preserve">rowth in the context of a </w:t>
      </w:r>
      <w:r w:rsidR="00973EA4">
        <w:rPr>
          <w:rFonts w:asciiTheme="majorHAnsi" w:hAnsiTheme="majorHAnsi"/>
        </w:rPr>
        <w:t>continued</w:t>
      </w:r>
      <w:r w:rsidR="004A26AD">
        <w:rPr>
          <w:rFonts w:asciiTheme="majorHAnsi" w:hAnsiTheme="majorHAnsi"/>
        </w:rPr>
        <w:t xml:space="preserve"> </w:t>
      </w:r>
      <w:r>
        <w:rPr>
          <w:rFonts w:asciiTheme="majorHAnsi" w:hAnsiTheme="majorHAnsi"/>
        </w:rPr>
        <w:t xml:space="preserve">fragile economy: </w:t>
      </w:r>
      <w:r w:rsidRPr="00B40518">
        <w:rPr>
          <w:rFonts w:asciiTheme="majorHAnsi" w:hAnsiTheme="majorHAnsi"/>
          <w:b/>
        </w:rPr>
        <w:t>Italy</w:t>
      </w:r>
      <w:r w:rsidR="00B40518">
        <w:rPr>
          <w:rFonts w:asciiTheme="majorHAnsi" w:hAnsiTheme="majorHAnsi"/>
        </w:rPr>
        <w:t xml:space="preserve"> (-1.8% this year, +1.</w:t>
      </w:r>
      <w:r>
        <w:rPr>
          <w:rFonts w:asciiTheme="majorHAnsi" w:hAnsiTheme="majorHAnsi"/>
        </w:rPr>
        <w:t xml:space="preserve">1% next year), </w:t>
      </w:r>
      <w:r w:rsidRPr="00B40518">
        <w:rPr>
          <w:rFonts w:asciiTheme="majorHAnsi" w:hAnsiTheme="majorHAnsi"/>
          <w:b/>
        </w:rPr>
        <w:t>France</w:t>
      </w:r>
      <w:r>
        <w:rPr>
          <w:rFonts w:asciiTheme="majorHAnsi" w:hAnsiTheme="majorHAnsi"/>
        </w:rPr>
        <w:t xml:space="preserve"> (-1.1% in both years) and </w:t>
      </w:r>
      <w:r w:rsidRPr="00B40518">
        <w:rPr>
          <w:rFonts w:asciiTheme="majorHAnsi" w:hAnsiTheme="majorHAnsi"/>
          <w:b/>
        </w:rPr>
        <w:t>Germany</w:t>
      </w:r>
      <w:r>
        <w:rPr>
          <w:rFonts w:asciiTheme="majorHAnsi" w:hAnsiTheme="majorHAnsi"/>
        </w:rPr>
        <w:t xml:space="preserve"> (+1.8% </w:t>
      </w:r>
      <w:r w:rsidR="00973EA4">
        <w:rPr>
          <w:rFonts w:asciiTheme="majorHAnsi" w:hAnsiTheme="majorHAnsi"/>
        </w:rPr>
        <w:t xml:space="preserve">this year, </w:t>
      </w:r>
      <w:r>
        <w:rPr>
          <w:rFonts w:asciiTheme="majorHAnsi" w:hAnsiTheme="majorHAnsi"/>
        </w:rPr>
        <w:t>+2.0%</w:t>
      </w:r>
      <w:r w:rsidR="00973EA4">
        <w:rPr>
          <w:rFonts w:asciiTheme="majorHAnsi" w:hAnsiTheme="majorHAnsi"/>
        </w:rPr>
        <w:t xml:space="preserve"> next year</w:t>
      </w:r>
      <w:r w:rsidR="00CC04A9">
        <w:rPr>
          <w:rFonts w:asciiTheme="majorHAnsi" w:hAnsiTheme="majorHAnsi"/>
        </w:rPr>
        <w:t>).</w:t>
      </w:r>
      <w:r w:rsidR="00B40518">
        <w:rPr>
          <w:rFonts w:asciiTheme="majorHAnsi" w:hAnsiTheme="majorHAnsi"/>
        </w:rPr>
        <w:t xml:space="preserve"> With a much weaker economy than anticipated (+1.4% in real GDP) Germany managed to grow advertising slightly. Paradoxically, Germany’s victory at the FIFA World Cup did not help because it was broadcasted on State-owned stations that are largely </w:t>
      </w:r>
      <w:proofErr w:type="gramStart"/>
      <w:r w:rsidR="00B40518">
        <w:rPr>
          <w:rFonts w:asciiTheme="majorHAnsi" w:hAnsiTheme="majorHAnsi"/>
        </w:rPr>
        <w:t>ad-free,</w:t>
      </w:r>
      <w:proofErr w:type="gramEnd"/>
      <w:r w:rsidR="00B40518">
        <w:rPr>
          <w:rFonts w:asciiTheme="majorHAnsi" w:hAnsiTheme="majorHAnsi"/>
        </w:rPr>
        <w:t xml:space="preserve"> and diverted audiences from commercial channels. By contrast the world cup </w:t>
      </w:r>
      <w:r w:rsidR="00B40518" w:rsidRPr="00B40518">
        <w:rPr>
          <w:rFonts w:asciiTheme="majorHAnsi" w:hAnsiTheme="majorHAnsi"/>
          <w:i/>
        </w:rPr>
        <w:t>was</w:t>
      </w:r>
      <w:r w:rsidR="00B40518">
        <w:rPr>
          <w:rFonts w:asciiTheme="majorHAnsi" w:hAnsiTheme="majorHAnsi"/>
        </w:rPr>
        <w:t xml:space="preserve"> a clear driver in France, where leading </w:t>
      </w:r>
      <w:r w:rsidR="00073164">
        <w:rPr>
          <w:rFonts w:asciiTheme="majorHAnsi" w:hAnsiTheme="majorHAnsi"/>
        </w:rPr>
        <w:t xml:space="preserve">commercial </w:t>
      </w:r>
      <w:r w:rsidR="00B40518">
        <w:rPr>
          <w:rFonts w:asciiTheme="majorHAnsi" w:hAnsiTheme="majorHAnsi"/>
        </w:rPr>
        <w:t xml:space="preserve">broadcaster TF1 was showing most matches, but </w:t>
      </w:r>
      <w:r w:rsidR="00073164">
        <w:rPr>
          <w:rFonts w:asciiTheme="majorHAnsi" w:hAnsiTheme="majorHAnsi"/>
        </w:rPr>
        <w:t xml:space="preserve">even </w:t>
      </w:r>
      <w:r w:rsidR="00B40518">
        <w:rPr>
          <w:rFonts w:asciiTheme="majorHAnsi" w:hAnsiTheme="majorHAnsi"/>
        </w:rPr>
        <w:t xml:space="preserve">that was not enough to boost television’s pricing power beyond Spring </w:t>
      </w:r>
      <w:r w:rsidR="000B4C26">
        <w:rPr>
          <w:rFonts w:asciiTheme="majorHAnsi" w:hAnsiTheme="majorHAnsi"/>
        </w:rPr>
        <w:t>as the</w:t>
      </w:r>
      <w:r w:rsidR="00B40518">
        <w:rPr>
          <w:rFonts w:asciiTheme="majorHAnsi" w:hAnsiTheme="majorHAnsi"/>
        </w:rPr>
        <w:t xml:space="preserve"> protracted economic stagnation</w:t>
      </w:r>
      <w:r w:rsidR="00073164">
        <w:rPr>
          <w:rFonts w:asciiTheme="majorHAnsi" w:hAnsiTheme="majorHAnsi"/>
        </w:rPr>
        <w:t xml:space="preserve"> (+0.4% in real GDP)</w:t>
      </w:r>
      <w:r w:rsidR="000B4C26">
        <w:rPr>
          <w:rFonts w:asciiTheme="majorHAnsi" w:hAnsiTheme="majorHAnsi"/>
        </w:rPr>
        <w:t xml:space="preserve"> and historically low business confidence took their toll on marketing demand.</w:t>
      </w:r>
    </w:p>
    <w:p w:rsidR="00164041" w:rsidRDefault="00161FDD" w:rsidP="00F30AC0">
      <w:pPr>
        <w:rPr>
          <w:rFonts w:asciiTheme="majorHAnsi" w:hAnsiTheme="majorHAnsi"/>
        </w:rPr>
      </w:pPr>
      <w:r w:rsidRPr="009361C4">
        <w:rPr>
          <w:rFonts w:asciiTheme="majorHAnsi" w:hAnsiTheme="majorHAnsi"/>
          <w:b/>
        </w:rPr>
        <w:t>N</w:t>
      </w:r>
      <w:r w:rsidR="00B40518" w:rsidRPr="009361C4">
        <w:rPr>
          <w:rFonts w:asciiTheme="majorHAnsi" w:hAnsiTheme="majorHAnsi"/>
          <w:b/>
        </w:rPr>
        <w:t>ordic</w:t>
      </w:r>
      <w:r w:rsidRPr="009361C4">
        <w:rPr>
          <w:rFonts w:asciiTheme="majorHAnsi" w:hAnsiTheme="majorHAnsi"/>
          <w:b/>
        </w:rPr>
        <w:t xml:space="preserve"> markets</w:t>
      </w:r>
      <w:r>
        <w:rPr>
          <w:rFonts w:asciiTheme="majorHAnsi" w:hAnsiTheme="majorHAnsi"/>
        </w:rPr>
        <w:t xml:space="preserve"> displayed moderate growth this year (+1.5%) and should accelerate next year (+2.6%). The Winter Olympics of 2014 only had a small impact on the region despite the popularity of Winter Sports. The reason was the fact that the Games were generally not broadcast on </w:t>
      </w:r>
      <w:r>
        <w:rPr>
          <w:rFonts w:asciiTheme="majorHAnsi" w:hAnsiTheme="majorHAnsi"/>
        </w:rPr>
        <w:lastRenderedPageBreak/>
        <w:t>commercial, ad-funded stations. The exception was Norway, where the availability of Olympic broadcasts on a commercial channel for the first time, contributed to a</w:t>
      </w:r>
      <w:r w:rsidR="00B40518">
        <w:rPr>
          <w:rFonts w:asciiTheme="majorHAnsi" w:hAnsiTheme="majorHAnsi"/>
        </w:rPr>
        <w:t xml:space="preserve"> record</w:t>
      </w:r>
      <w:r>
        <w:rPr>
          <w:rFonts w:asciiTheme="majorHAnsi" w:hAnsiTheme="majorHAnsi"/>
        </w:rPr>
        <w:t xml:space="preserve"> </w:t>
      </w:r>
      <w:r w:rsidR="00B40518">
        <w:rPr>
          <w:rFonts w:asciiTheme="majorHAnsi" w:hAnsiTheme="majorHAnsi"/>
        </w:rPr>
        <w:t>+</w:t>
      </w:r>
      <w:r>
        <w:rPr>
          <w:rFonts w:asciiTheme="majorHAnsi" w:hAnsiTheme="majorHAnsi"/>
        </w:rPr>
        <w:t xml:space="preserve">8.5% </w:t>
      </w:r>
      <w:proofErr w:type="gramStart"/>
      <w:r>
        <w:rPr>
          <w:rFonts w:asciiTheme="majorHAnsi" w:hAnsiTheme="majorHAnsi"/>
        </w:rPr>
        <w:t>growth</w:t>
      </w:r>
      <w:proofErr w:type="gramEnd"/>
      <w:r>
        <w:rPr>
          <w:rFonts w:asciiTheme="majorHAnsi" w:hAnsiTheme="majorHAnsi"/>
        </w:rPr>
        <w:t xml:space="preserve"> </w:t>
      </w:r>
      <w:r w:rsidR="00B40518">
        <w:rPr>
          <w:rFonts w:asciiTheme="majorHAnsi" w:hAnsiTheme="majorHAnsi"/>
        </w:rPr>
        <w:t>for</w:t>
      </w:r>
      <w:r>
        <w:rPr>
          <w:rFonts w:asciiTheme="majorHAnsi" w:hAnsiTheme="majorHAnsi"/>
        </w:rPr>
        <w:t xml:space="preserve"> the relatively small Norwegian TV market.</w:t>
      </w:r>
    </w:p>
    <w:p w:rsidR="0018045F" w:rsidRPr="003B62D1" w:rsidRDefault="0018045F" w:rsidP="0018045F">
      <w:pPr>
        <w:pStyle w:val="Heading1"/>
      </w:pPr>
      <w:r>
        <w:t>Central and Eastern Europe</w:t>
      </w:r>
      <w:r w:rsidR="00207C6B">
        <w:t>: Hit by Russian Woes</w:t>
      </w:r>
    </w:p>
    <w:p w:rsidR="0018045F" w:rsidRPr="0009215A" w:rsidRDefault="0018045F" w:rsidP="0018045F">
      <w:pPr>
        <w:rPr>
          <w:rFonts w:asciiTheme="majorHAnsi" w:hAnsiTheme="majorHAnsi"/>
        </w:rPr>
      </w:pPr>
      <w:r w:rsidRPr="0009215A">
        <w:rPr>
          <w:rFonts w:asciiTheme="majorHAnsi" w:hAnsiTheme="majorHAnsi"/>
        </w:rPr>
        <w:t xml:space="preserve">Central &amp; Eastern European advertising revenues are expected to increase by +2.2% this year, a significant deceleration from last year’s +7.2% growth rate, and lower than our spring forecast of +6.3% growth. The region has experienced increasing headwinds: decreasing energy prices impacting the economies of several prominent CEE countries, as well as spillover from the tensions between Russia and Ukraine, including budget pullbacks as a result of general increased geopolitical uncertainty even in countries not immediately impacted by the conflict. Energy prices continue to fall and political tensions haven’t subsided. Many of these headwinds will linger, and growth next year is expected to be +3.0%, slower than previous expectations. In addition, the recovery </w:t>
      </w:r>
      <w:r w:rsidR="00973EA4">
        <w:rPr>
          <w:rFonts w:asciiTheme="majorHAnsi" w:hAnsiTheme="majorHAnsi"/>
        </w:rPr>
        <w:t xml:space="preserve">towards the long-term trend of approximately </w:t>
      </w:r>
      <w:r w:rsidRPr="0009215A">
        <w:rPr>
          <w:rFonts w:asciiTheme="majorHAnsi" w:hAnsiTheme="majorHAnsi"/>
        </w:rPr>
        <w:t>+7% will be slower than previously forecast.</w:t>
      </w:r>
    </w:p>
    <w:p w:rsidR="0018045F" w:rsidRPr="0009215A" w:rsidRDefault="0018045F" w:rsidP="0018045F">
      <w:pPr>
        <w:rPr>
          <w:rFonts w:asciiTheme="majorHAnsi" w:hAnsiTheme="majorHAnsi"/>
        </w:rPr>
      </w:pPr>
      <w:r w:rsidRPr="0009215A">
        <w:rPr>
          <w:rFonts w:asciiTheme="majorHAnsi" w:hAnsiTheme="majorHAnsi"/>
        </w:rPr>
        <w:t xml:space="preserve">While Ukraine is seeing the largest percentage declines in spend, the largest contributor to the decreased growth in the region is </w:t>
      </w:r>
      <w:r w:rsidRPr="00207C6B">
        <w:rPr>
          <w:rFonts w:asciiTheme="majorHAnsi" w:hAnsiTheme="majorHAnsi"/>
          <w:b/>
        </w:rPr>
        <w:t>Russia</w:t>
      </w:r>
      <w:r w:rsidRPr="0009215A">
        <w:rPr>
          <w:rFonts w:asciiTheme="majorHAnsi" w:hAnsiTheme="majorHAnsi"/>
        </w:rPr>
        <w:t xml:space="preserve"> due to its much larger </w:t>
      </w:r>
      <w:r w:rsidR="00207C6B">
        <w:rPr>
          <w:rFonts w:asciiTheme="majorHAnsi" w:hAnsiTheme="majorHAnsi"/>
        </w:rPr>
        <w:t xml:space="preserve">market </w:t>
      </w:r>
      <w:r w:rsidRPr="0009215A">
        <w:rPr>
          <w:rFonts w:asciiTheme="majorHAnsi" w:hAnsiTheme="majorHAnsi"/>
        </w:rPr>
        <w:t>size. Not only is there the expectation of much slower Russian real GDP growth (IMF forecasts down over 1% since the spring), but Russia is also at the epicenter of many of the regional headwinds. Compounding these impacts are ad market specific headwinds</w:t>
      </w:r>
      <w:r w:rsidR="00973EA4">
        <w:rPr>
          <w:rFonts w:asciiTheme="majorHAnsi" w:hAnsiTheme="majorHAnsi"/>
        </w:rPr>
        <w:t>,</w:t>
      </w:r>
      <w:r w:rsidRPr="0009215A">
        <w:rPr>
          <w:rFonts w:asciiTheme="majorHAnsi" w:hAnsiTheme="majorHAnsi"/>
        </w:rPr>
        <w:t xml:space="preserve"> including the upcoming ban on Pay TV advertising as well as OOH inventory reductions. </w:t>
      </w:r>
    </w:p>
    <w:p w:rsidR="0018045F" w:rsidRPr="0009215A" w:rsidRDefault="0018045F" w:rsidP="0018045F">
      <w:pPr>
        <w:rPr>
          <w:rFonts w:asciiTheme="majorHAnsi" w:hAnsiTheme="majorHAnsi"/>
        </w:rPr>
      </w:pPr>
      <w:r w:rsidRPr="0009215A">
        <w:rPr>
          <w:rFonts w:asciiTheme="majorHAnsi" w:hAnsiTheme="majorHAnsi"/>
        </w:rPr>
        <w:t>Growth in the region if one excludes Russia and Ukraine (although they represent 53% of the total spend in Central &amp; Eastern Europe)</w:t>
      </w:r>
      <w:r w:rsidR="00973EA4">
        <w:rPr>
          <w:rFonts w:asciiTheme="majorHAnsi" w:hAnsiTheme="majorHAnsi"/>
        </w:rPr>
        <w:t>,</w:t>
      </w:r>
      <w:r w:rsidRPr="0009215A">
        <w:rPr>
          <w:rFonts w:asciiTheme="majorHAnsi" w:hAnsiTheme="majorHAnsi"/>
        </w:rPr>
        <w:t xml:space="preserve"> is expected to be +5.2% this year, much closer to our previous forecast of +6.3% excluding Ukraine and Russia. Tensions are high, but spillover thus far has been manageable for the remainder of the region and hasn’t impacted growth quite as severely: </w:t>
      </w:r>
      <w:r w:rsidRPr="00207C6B">
        <w:rPr>
          <w:rFonts w:asciiTheme="majorHAnsi" w:hAnsiTheme="majorHAnsi"/>
          <w:b/>
        </w:rPr>
        <w:t>Poland</w:t>
      </w:r>
      <w:r w:rsidRPr="0009215A">
        <w:rPr>
          <w:rFonts w:asciiTheme="majorHAnsi" w:hAnsiTheme="majorHAnsi"/>
        </w:rPr>
        <w:t xml:space="preserve"> is expected to grow by +4.2% this year vs. our spring forecast of +6.4%, and </w:t>
      </w:r>
      <w:r w:rsidRPr="00207C6B">
        <w:rPr>
          <w:rFonts w:asciiTheme="majorHAnsi" w:hAnsiTheme="majorHAnsi"/>
          <w:b/>
        </w:rPr>
        <w:t>Turkey</w:t>
      </w:r>
      <w:r w:rsidRPr="0009215A">
        <w:rPr>
          <w:rFonts w:asciiTheme="majorHAnsi" w:hAnsiTheme="majorHAnsi"/>
        </w:rPr>
        <w:t xml:space="preserve"> is expected to grow by +7.3% this year, slightly down from our spring forecast of +8.8%.  </w:t>
      </w:r>
    </w:p>
    <w:p w:rsidR="0018045F" w:rsidRPr="0009215A" w:rsidRDefault="0018045F" w:rsidP="0018045F">
      <w:pPr>
        <w:rPr>
          <w:rFonts w:asciiTheme="majorHAnsi" w:hAnsiTheme="majorHAnsi"/>
        </w:rPr>
      </w:pPr>
      <w:r w:rsidRPr="0009215A">
        <w:rPr>
          <w:rFonts w:asciiTheme="majorHAnsi" w:hAnsiTheme="majorHAnsi"/>
        </w:rPr>
        <w:t xml:space="preserve">The highest growth in Central &amp; Eastern Europe will be in Estonia, where the advertising economy will grow by +8.4% this year. The lowest growth will be in Ukraine, where total spend in local currency terms will shrink by nearly -20%. </w:t>
      </w:r>
    </w:p>
    <w:p w:rsidR="0018045F" w:rsidRPr="0009215A" w:rsidRDefault="0018045F" w:rsidP="0018045F">
      <w:pPr>
        <w:rPr>
          <w:rFonts w:asciiTheme="majorHAnsi" w:hAnsiTheme="majorHAnsi"/>
        </w:rPr>
      </w:pPr>
      <w:r w:rsidRPr="0009215A">
        <w:rPr>
          <w:rFonts w:asciiTheme="majorHAnsi" w:hAnsiTheme="majorHAnsi"/>
        </w:rPr>
        <w:t xml:space="preserve">Within formats, we expect digital to continue to be the strongest growth driver in the CEE region, with growth of +19.0% expected this year. It’s almost the only ad format still growing, as TV and Radio (both +0.8% expected in 2014) are barely remaining positive. Newspapers (-9.7%) and magazines (-11.8%) continue to see sharp declines, and even OOH (-3.7%) is struggling. Historically one of the stronger regions driving global growth, CEE is now below the global average and falling behind other undeveloped ad markets such as APAC and Latam. </w:t>
      </w:r>
    </w:p>
    <w:p w:rsidR="005D3D0B" w:rsidRPr="000D2DF4" w:rsidRDefault="005D3D0B" w:rsidP="0018045F">
      <w:pPr>
        <w:pStyle w:val="Heading1"/>
      </w:pPr>
      <w:r w:rsidRPr="000D2DF4">
        <w:lastRenderedPageBreak/>
        <w:t>Asia</w:t>
      </w:r>
      <w:r w:rsidR="00D71624" w:rsidRPr="000D2DF4">
        <w:t>-Pacific</w:t>
      </w:r>
      <w:r w:rsidR="001F1EA5">
        <w:t>: China Slows Down, India Accelerates</w:t>
      </w:r>
    </w:p>
    <w:p w:rsidR="002332ED" w:rsidRPr="0009215A" w:rsidRDefault="0018045F" w:rsidP="0018045F">
      <w:pPr>
        <w:rPr>
          <w:rFonts w:asciiTheme="majorHAnsi" w:hAnsiTheme="majorHAnsi"/>
        </w:rPr>
      </w:pPr>
      <w:r w:rsidRPr="0009215A">
        <w:rPr>
          <w:rFonts w:asciiTheme="majorHAnsi" w:hAnsiTheme="majorHAnsi"/>
        </w:rPr>
        <w:t xml:space="preserve">APAC advertising revenues are expected to increase by +6.9% this year, slightly lower than last year’s +7.1% growth and marginally lower than our spring forecast of +7.6%. The chief driver of this slowdown is the softening economic prospects in the region. </w:t>
      </w:r>
    </w:p>
    <w:p w:rsidR="0018045F" w:rsidRPr="0009215A" w:rsidRDefault="0018045F" w:rsidP="0018045F">
      <w:pPr>
        <w:rPr>
          <w:rFonts w:asciiTheme="majorHAnsi" w:hAnsiTheme="majorHAnsi"/>
        </w:rPr>
      </w:pPr>
      <w:r w:rsidRPr="001F1EA5">
        <w:rPr>
          <w:rFonts w:asciiTheme="majorHAnsi" w:hAnsiTheme="majorHAnsi"/>
          <w:b/>
        </w:rPr>
        <w:t>Chinese</w:t>
      </w:r>
      <w:r w:rsidRPr="0009215A">
        <w:rPr>
          <w:rFonts w:asciiTheme="majorHAnsi" w:hAnsiTheme="majorHAnsi"/>
        </w:rPr>
        <w:t xml:space="preserve"> growth forecasts continue to move lower and GDP growth is pacing at the lowest rates in five years. While Chinese ad spend growth (</w:t>
      </w:r>
      <w:r w:rsidR="00973EA4">
        <w:rPr>
          <w:rFonts w:asciiTheme="majorHAnsi" w:hAnsiTheme="majorHAnsi"/>
        </w:rPr>
        <w:t>+</w:t>
      </w:r>
      <w:r w:rsidRPr="0009215A">
        <w:rPr>
          <w:rFonts w:asciiTheme="majorHAnsi" w:hAnsiTheme="majorHAnsi"/>
        </w:rPr>
        <w:t xml:space="preserve">11.6% this year, </w:t>
      </w:r>
      <w:r w:rsidR="00973EA4">
        <w:rPr>
          <w:rFonts w:asciiTheme="majorHAnsi" w:hAnsiTheme="majorHAnsi"/>
        </w:rPr>
        <w:t>+</w:t>
      </w:r>
      <w:r w:rsidRPr="0009215A">
        <w:rPr>
          <w:rFonts w:asciiTheme="majorHAnsi" w:hAnsiTheme="majorHAnsi"/>
        </w:rPr>
        <w:t xml:space="preserve">8.6% next year) </w:t>
      </w:r>
      <w:r w:rsidR="00973EA4" w:rsidRPr="0009215A">
        <w:rPr>
          <w:rFonts w:asciiTheme="majorHAnsi" w:hAnsiTheme="majorHAnsi"/>
        </w:rPr>
        <w:t xml:space="preserve">remains </w:t>
      </w:r>
      <w:r w:rsidRPr="0009215A">
        <w:rPr>
          <w:rFonts w:asciiTheme="majorHAnsi" w:hAnsiTheme="majorHAnsi"/>
        </w:rPr>
        <w:t>significantly ahead of global levels, the weakness in housing sales, property development, and manufacturing activity continue to add headwinds to the economy.</w:t>
      </w:r>
    </w:p>
    <w:p w:rsidR="0018045F" w:rsidRPr="0009215A" w:rsidRDefault="0018045F" w:rsidP="0018045F">
      <w:pPr>
        <w:rPr>
          <w:rFonts w:asciiTheme="majorHAnsi" w:hAnsiTheme="majorHAnsi"/>
        </w:rPr>
      </w:pPr>
      <w:r w:rsidRPr="0009215A">
        <w:rPr>
          <w:rFonts w:asciiTheme="majorHAnsi" w:hAnsiTheme="majorHAnsi"/>
        </w:rPr>
        <w:t xml:space="preserve">In </w:t>
      </w:r>
      <w:r w:rsidRPr="001F1EA5">
        <w:rPr>
          <w:rFonts w:asciiTheme="majorHAnsi" w:hAnsiTheme="majorHAnsi"/>
          <w:b/>
        </w:rPr>
        <w:t>Japan</w:t>
      </w:r>
      <w:r w:rsidRPr="0009215A">
        <w:rPr>
          <w:rFonts w:asciiTheme="majorHAnsi" w:hAnsiTheme="majorHAnsi"/>
        </w:rPr>
        <w:t xml:space="preserve">, the shock created by the sales tax increase this year has hit economic activity but this is more or less offset by a new inflationary </w:t>
      </w:r>
      <w:r w:rsidR="001F1EA5">
        <w:rPr>
          <w:rFonts w:asciiTheme="majorHAnsi" w:hAnsiTheme="majorHAnsi"/>
        </w:rPr>
        <w:t xml:space="preserve">economic </w:t>
      </w:r>
      <w:r w:rsidRPr="0009215A">
        <w:rPr>
          <w:rFonts w:asciiTheme="majorHAnsi" w:hAnsiTheme="majorHAnsi"/>
        </w:rPr>
        <w:t>environment</w:t>
      </w:r>
      <w:r w:rsidR="001F1EA5">
        <w:rPr>
          <w:rFonts w:asciiTheme="majorHAnsi" w:hAnsiTheme="majorHAnsi"/>
        </w:rPr>
        <w:t xml:space="preserve"> driving up media costs</w:t>
      </w:r>
      <w:r w:rsidRPr="0009215A">
        <w:rPr>
          <w:rFonts w:asciiTheme="majorHAnsi" w:hAnsiTheme="majorHAnsi"/>
        </w:rPr>
        <w:t xml:space="preserve">; we </w:t>
      </w:r>
      <w:r w:rsidR="002332ED" w:rsidRPr="0009215A">
        <w:rPr>
          <w:rFonts w:asciiTheme="majorHAnsi" w:hAnsiTheme="majorHAnsi"/>
        </w:rPr>
        <w:t xml:space="preserve">thus </w:t>
      </w:r>
      <w:r w:rsidRPr="0009215A">
        <w:rPr>
          <w:rFonts w:asciiTheme="majorHAnsi" w:hAnsiTheme="majorHAnsi"/>
        </w:rPr>
        <w:t xml:space="preserve">expect advertising spend to increase by </w:t>
      </w:r>
      <w:r w:rsidR="001F1EA5">
        <w:rPr>
          <w:rFonts w:asciiTheme="majorHAnsi" w:hAnsiTheme="majorHAnsi"/>
        </w:rPr>
        <w:t>+</w:t>
      </w:r>
      <w:r w:rsidRPr="0009215A">
        <w:rPr>
          <w:rFonts w:asciiTheme="majorHAnsi" w:hAnsiTheme="majorHAnsi"/>
        </w:rPr>
        <w:t>3</w:t>
      </w:r>
      <w:r w:rsidR="001F1EA5">
        <w:rPr>
          <w:rFonts w:asciiTheme="majorHAnsi" w:hAnsiTheme="majorHAnsi"/>
        </w:rPr>
        <w:t>.0</w:t>
      </w:r>
      <w:r w:rsidRPr="0009215A">
        <w:rPr>
          <w:rFonts w:asciiTheme="majorHAnsi" w:hAnsiTheme="majorHAnsi"/>
        </w:rPr>
        <w:t xml:space="preserve">% this year and by </w:t>
      </w:r>
      <w:r w:rsidR="001F1EA5">
        <w:rPr>
          <w:rFonts w:asciiTheme="majorHAnsi" w:hAnsiTheme="majorHAnsi"/>
        </w:rPr>
        <w:t>+</w:t>
      </w:r>
      <w:r w:rsidRPr="0009215A">
        <w:rPr>
          <w:rFonts w:asciiTheme="majorHAnsi" w:hAnsiTheme="majorHAnsi"/>
        </w:rPr>
        <w:t xml:space="preserve">2.7% next year. </w:t>
      </w:r>
    </w:p>
    <w:p w:rsidR="002332ED" w:rsidRPr="0009215A" w:rsidRDefault="002332ED" w:rsidP="0018045F">
      <w:pPr>
        <w:rPr>
          <w:rFonts w:asciiTheme="majorHAnsi" w:hAnsiTheme="majorHAnsi"/>
        </w:rPr>
      </w:pPr>
      <w:r w:rsidRPr="0009215A">
        <w:rPr>
          <w:rFonts w:asciiTheme="majorHAnsi" w:hAnsiTheme="majorHAnsi"/>
        </w:rPr>
        <w:t xml:space="preserve">The </w:t>
      </w:r>
      <w:r w:rsidRPr="001F1EA5">
        <w:rPr>
          <w:rFonts w:asciiTheme="majorHAnsi" w:hAnsiTheme="majorHAnsi"/>
          <w:b/>
        </w:rPr>
        <w:t>Indian</w:t>
      </w:r>
      <w:r w:rsidRPr="0009215A">
        <w:rPr>
          <w:rFonts w:asciiTheme="majorHAnsi" w:hAnsiTheme="majorHAnsi"/>
        </w:rPr>
        <w:t xml:space="preserve"> advertising market showe</w:t>
      </w:r>
      <w:r w:rsidR="00973EA4">
        <w:rPr>
          <w:rFonts w:asciiTheme="majorHAnsi" w:hAnsiTheme="majorHAnsi"/>
        </w:rPr>
        <w:t>d strong growth this year (+13.2</w:t>
      </w:r>
      <w:r w:rsidRPr="0009215A">
        <w:rPr>
          <w:rFonts w:asciiTheme="majorHAnsi" w:hAnsiTheme="majorHAnsi"/>
        </w:rPr>
        <w:t>%)</w:t>
      </w:r>
      <w:r w:rsidR="001F1EA5">
        <w:rPr>
          <w:rFonts w:asciiTheme="majorHAnsi" w:hAnsiTheme="majorHAnsi"/>
        </w:rPr>
        <w:t xml:space="preserve"> following two lackluster years (2012: +4.6%, 2013: +8.0%)</w:t>
      </w:r>
      <w:r w:rsidRPr="0009215A">
        <w:rPr>
          <w:rFonts w:asciiTheme="majorHAnsi" w:hAnsiTheme="majorHAnsi"/>
        </w:rPr>
        <w:t xml:space="preserve">. The general elections that took place in the first part of the year generated massive incremental spend primarily benefiting television. The outcome of the election, bringing a new BJP-led Government to power, improved business and consumer confidence, which prompted us to increase our 2015 ad growth forecast to </w:t>
      </w:r>
      <w:r w:rsidR="00973EA4">
        <w:rPr>
          <w:rFonts w:asciiTheme="majorHAnsi" w:hAnsiTheme="majorHAnsi"/>
        </w:rPr>
        <w:t>+</w:t>
      </w:r>
      <w:r w:rsidRPr="0009215A">
        <w:rPr>
          <w:rFonts w:asciiTheme="majorHAnsi" w:hAnsiTheme="majorHAnsi"/>
        </w:rPr>
        <w:t>13.3%. The new Government is also committed to invest billions in order to connect millions of rural Indians to broadband internet</w:t>
      </w:r>
      <w:r w:rsidR="00973EA4">
        <w:rPr>
          <w:rFonts w:asciiTheme="majorHAnsi" w:hAnsiTheme="majorHAnsi"/>
        </w:rPr>
        <w:t xml:space="preserve">, in a plan advertised through a recent meeting between the new Prime Minister </w:t>
      </w:r>
      <w:proofErr w:type="spellStart"/>
      <w:r w:rsidR="00973EA4">
        <w:rPr>
          <w:rFonts w:asciiTheme="majorHAnsi" w:hAnsiTheme="majorHAnsi"/>
        </w:rPr>
        <w:t>Narendra</w:t>
      </w:r>
      <w:proofErr w:type="spellEnd"/>
      <w:r w:rsidR="00973EA4">
        <w:rPr>
          <w:rFonts w:asciiTheme="majorHAnsi" w:hAnsiTheme="majorHAnsi"/>
        </w:rPr>
        <w:t xml:space="preserve"> </w:t>
      </w:r>
      <w:proofErr w:type="spellStart"/>
      <w:r w:rsidR="00973EA4">
        <w:rPr>
          <w:rFonts w:asciiTheme="majorHAnsi" w:hAnsiTheme="majorHAnsi"/>
        </w:rPr>
        <w:t>Modi</w:t>
      </w:r>
      <w:proofErr w:type="spellEnd"/>
      <w:r w:rsidR="00973EA4">
        <w:rPr>
          <w:rFonts w:asciiTheme="majorHAnsi" w:hAnsiTheme="majorHAnsi"/>
        </w:rPr>
        <w:t>, and the Facebook founder Mark Zuckerberg</w:t>
      </w:r>
      <w:r w:rsidRPr="0009215A">
        <w:rPr>
          <w:rFonts w:asciiTheme="majorHAnsi" w:hAnsiTheme="majorHAnsi"/>
        </w:rPr>
        <w:t>.</w:t>
      </w:r>
    </w:p>
    <w:p w:rsidR="0018045F" w:rsidRPr="0009215A" w:rsidRDefault="0018045F" w:rsidP="0018045F">
      <w:pPr>
        <w:rPr>
          <w:rFonts w:asciiTheme="majorHAnsi" w:hAnsiTheme="majorHAnsi"/>
        </w:rPr>
      </w:pPr>
      <w:r w:rsidRPr="0009215A">
        <w:rPr>
          <w:rFonts w:asciiTheme="majorHAnsi" w:hAnsiTheme="majorHAnsi"/>
        </w:rPr>
        <w:t xml:space="preserve">The strongest growth in the APAC region in 2014 came from </w:t>
      </w:r>
      <w:r w:rsidRPr="001F1EA5">
        <w:rPr>
          <w:rFonts w:asciiTheme="majorHAnsi" w:hAnsiTheme="majorHAnsi"/>
          <w:b/>
        </w:rPr>
        <w:t>Indonesia</w:t>
      </w:r>
      <w:r w:rsidRPr="0009215A">
        <w:rPr>
          <w:rFonts w:asciiTheme="majorHAnsi" w:hAnsiTheme="majorHAnsi"/>
        </w:rPr>
        <w:t xml:space="preserve"> (+21.5%). It has been another strong year for the Indonesian market off a low base (just $29 per capita is spent on advertising in Indonesia). </w:t>
      </w:r>
      <w:r w:rsidR="00D67F7C" w:rsidRPr="0009215A">
        <w:rPr>
          <w:rFonts w:asciiTheme="majorHAnsi" w:hAnsiTheme="majorHAnsi"/>
        </w:rPr>
        <w:t xml:space="preserve">The </w:t>
      </w:r>
      <w:r w:rsidR="00D67F7C">
        <w:rPr>
          <w:rFonts w:asciiTheme="majorHAnsi" w:hAnsiTheme="majorHAnsi"/>
        </w:rPr>
        <w:t>poorest</w:t>
      </w:r>
      <w:r w:rsidR="00D67F7C" w:rsidRPr="0009215A">
        <w:rPr>
          <w:rFonts w:asciiTheme="majorHAnsi" w:hAnsiTheme="majorHAnsi"/>
        </w:rPr>
        <w:t xml:space="preserve"> performance in the region came from </w:t>
      </w:r>
      <w:r w:rsidR="00D67F7C" w:rsidRPr="001F1EA5">
        <w:rPr>
          <w:rFonts w:asciiTheme="majorHAnsi" w:hAnsiTheme="majorHAnsi"/>
          <w:b/>
        </w:rPr>
        <w:t>Thailand</w:t>
      </w:r>
      <w:r w:rsidR="00D67F7C" w:rsidRPr="0009215A">
        <w:rPr>
          <w:rFonts w:asciiTheme="majorHAnsi" w:hAnsiTheme="majorHAnsi"/>
        </w:rPr>
        <w:t xml:space="preserve"> with </w:t>
      </w:r>
      <w:r w:rsidR="00D67F7C">
        <w:rPr>
          <w:rFonts w:asciiTheme="majorHAnsi" w:hAnsiTheme="majorHAnsi"/>
        </w:rPr>
        <w:t xml:space="preserve">a </w:t>
      </w:r>
      <w:r w:rsidR="00D67F7C" w:rsidRPr="0009215A">
        <w:rPr>
          <w:rFonts w:asciiTheme="majorHAnsi" w:hAnsiTheme="majorHAnsi"/>
        </w:rPr>
        <w:t>-2.3% decline in advertising spend, hit by a tumultuous year politically and economically.</w:t>
      </w:r>
    </w:p>
    <w:p w:rsidR="0018045F" w:rsidRPr="0009215A" w:rsidRDefault="0018045F" w:rsidP="0018045F">
      <w:pPr>
        <w:rPr>
          <w:rFonts w:asciiTheme="majorHAnsi" w:hAnsiTheme="majorHAnsi"/>
        </w:rPr>
      </w:pPr>
      <w:r w:rsidRPr="0009215A">
        <w:rPr>
          <w:rFonts w:asciiTheme="majorHAnsi" w:hAnsiTheme="majorHAnsi"/>
        </w:rPr>
        <w:t>Digital remains the largest growth driver in APAC, and increase</w:t>
      </w:r>
      <w:r w:rsidR="002332ED" w:rsidRPr="0009215A">
        <w:rPr>
          <w:rFonts w:asciiTheme="majorHAnsi" w:hAnsiTheme="majorHAnsi"/>
        </w:rPr>
        <w:t>d</w:t>
      </w:r>
      <w:r w:rsidRPr="0009215A">
        <w:rPr>
          <w:rFonts w:asciiTheme="majorHAnsi" w:hAnsiTheme="majorHAnsi"/>
        </w:rPr>
        <w:t xml:space="preserve"> by +22.7% </w:t>
      </w:r>
      <w:proofErr w:type="gramStart"/>
      <w:r w:rsidRPr="0009215A">
        <w:rPr>
          <w:rFonts w:asciiTheme="majorHAnsi" w:hAnsiTheme="majorHAnsi"/>
        </w:rPr>
        <w:t>this year to represent over one quarter of total advertising spend</w:t>
      </w:r>
      <w:proofErr w:type="gramEnd"/>
      <w:r w:rsidRPr="0009215A">
        <w:rPr>
          <w:rFonts w:asciiTheme="majorHAnsi" w:hAnsiTheme="majorHAnsi"/>
        </w:rPr>
        <w:t xml:space="preserve"> for the first time. Growth continues to moderate, but digital continues to take share from every other format. TV remains the leading format in APAC, but digital advertising is rapidly developing and will pass television to become the leading format by 2019. </w:t>
      </w:r>
    </w:p>
    <w:p w:rsidR="0018045F" w:rsidRPr="0009215A" w:rsidRDefault="0018045F" w:rsidP="0018045F">
      <w:pPr>
        <w:rPr>
          <w:rFonts w:asciiTheme="majorHAnsi" w:hAnsiTheme="majorHAnsi"/>
        </w:rPr>
      </w:pPr>
      <w:r w:rsidRPr="0009215A">
        <w:rPr>
          <w:rFonts w:asciiTheme="majorHAnsi" w:hAnsiTheme="majorHAnsi"/>
        </w:rPr>
        <w:t xml:space="preserve">Within digital, the fastest growing </w:t>
      </w:r>
      <w:r w:rsidR="002332ED" w:rsidRPr="0009215A">
        <w:rPr>
          <w:rFonts w:asciiTheme="majorHAnsi" w:hAnsiTheme="majorHAnsi"/>
        </w:rPr>
        <w:t>formats</w:t>
      </w:r>
      <w:r w:rsidRPr="0009215A">
        <w:rPr>
          <w:rFonts w:asciiTheme="majorHAnsi" w:hAnsiTheme="majorHAnsi"/>
        </w:rPr>
        <w:t xml:space="preserve"> are social (+58.6% growth), followed by video (+37.6% growth) and search (+25.5% growth). Social spend has advanced rapidly and now represents 7% of all digital spend in APAC. Social and video are a focus of brands in APAC, and will grow to match what is spent on banner display by 2019. Mobile spending in the region represents over 20% of total digital spend this year, and this will rapidly grow to over 40% by 2019. Mobile spend on social formats continue</w:t>
      </w:r>
      <w:r w:rsidR="00973EA4">
        <w:rPr>
          <w:rFonts w:asciiTheme="majorHAnsi" w:hAnsiTheme="majorHAnsi"/>
        </w:rPr>
        <w:t>s</w:t>
      </w:r>
      <w:r w:rsidRPr="0009215A">
        <w:rPr>
          <w:rFonts w:asciiTheme="majorHAnsi" w:hAnsiTheme="majorHAnsi"/>
        </w:rPr>
        <w:t xml:space="preserve"> to lead the way, and other formats will follow. </w:t>
      </w:r>
    </w:p>
    <w:p w:rsidR="0018045F" w:rsidRPr="0009215A" w:rsidRDefault="0018045F" w:rsidP="0018045F">
      <w:pPr>
        <w:rPr>
          <w:rFonts w:asciiTheme="majorHAnsi" w:hAnsiTheme="majorHAnsi"/>
        </w:rPr>
      </w:pPr>
      <w:r w:rsidRPr="0009215A">
        <w:rPr>
          <w:rFonts w:asciiTheme="majorHAnsi" w:hAnsiTheme="majorHAnsi"/>
        </w:rPr>
        <w:lastRenderedPageBreak/>
        <w:t xml:space="preserve">Television remains the dominant format for advertising spend in APAC, and spend will grow by +3.5% this year and represent slightly over 40% of all advertising dollars. Broadcast television continues to dominate the TV landscape, although multi-channel television is gaining share due to slightly higher growth rates, and by 2019 will represent nearly one quarter of TV dollars. Print continues to lose market share, and newspaper and magazines together will represent less than one in five advertising dollars this year. This is down from one third of all spending as recently as 2008. </w:t>
      </w:r>
    </w:p>
    <w:p w:rsidR="00B07CDE" w:rsidRDefault="0018045F" w:rsidP="000D2CF9">
      <w:pPr>
        <w:rPr>
          <w:noProof/>
        </w:rPr>
      </w:pPr>
      <w:r w:rsidRPr="0009215A">
        <w:rPr>
          <w:rFonts w:asciiTheme="majorHAnsi" w:hAnsiTheme="majorHAnsi"/>
        </w:rPr>
        <w:t>APAC will continue to be one of the stronger regional drivers of global advertising spend, although its lead on the global growth rate continues to narrow. Its total share of global ad spend will only increase slightly between this year and 2019, from 29% to just over 30% of total spend</w:t>
      </w:r>
      <w:r w:rsidR="0009215A">
        <w:rPr>
          <w:noProof/>
        </w:rPr>
        <w:t>.</w:t>
      </w:r>
    </w:p>
    <w:p w:rsidR="0009215A" w:rsidRDefault="0009215A" w:rsidP="0009215A">
      <w:pPr>
        <w:pStyle w:val="Heading1"/>
        <w:rPr>
          <w:noProof/>
        </w:rPr>
      </w:pPr>
      <w:r>
        <w:rPr>
          <w:noProof/>
        </w:rPr>
        <w:t>North America</w:t>
      </w:r>
      <w:r w:rsidR="001F1EA5">
        <w:rPr>
          <w:noProof/>
        </w:rPr>
        <w:t>: Weaker-Than-Expected US Growth</w:t>
      </w:r>
    </w:p>
    <w:p w:rsidR="0009215A" w:rsidRPr="00EF144E" w:rsidRDefault="0009215A" w:rsidP="000D2CF9">
      <w:pPr>
        <w:rPr>
          <w:rFonts w:asciiTheme="majorHAnsi" w:hAnsiTheme="majorHAnsi"/>
        </w:rPr>
      </w:pPr>
      <w:r w:rsidRPr="00EF144E">
        <w:rPr>
          <w:rFonts w:asciiTheme="majorHAnsi" w:hAnsiTheme="majorHAnsi"/>
        </w:rPr>
        <w:t xml:space="preserve">North America advertising revenues grew by </w:t>
      </w:r>
      <w:r w:rsidR="00973EA4">
        <w:rPr>
          <w:rFonts w:asciiTheme="majorHAnsi" w:hAnsiTheme="majorHAnsi"/>
        </w:rPr>
        <w:t>+</w:t>
      </w:r>
      <w:r w:rsidRPr="00EF144E">
        <w:rPr>
          <w:rFonts w:asciiTheme="majorHAnsi" w:hAnsiTheme="majorHAnsi"/>
        </w:rPr>
        <w:t>4.0% this year, with a similar growth on both sides of the border: US +4.0%, Canada +3.9%.</w:t>
      </w:r>
    </w:p>
    <w:p w:rsidR="00EF144E" w:rsidRDefault="0009215A" w:rsidP="000D2CF9">
      <w:pPr>
        <w:rPr>
          <w:rFonts w:asciiTheme="majorHAnsi" w:hAnsiTheme="majorHAnsi"/>
        </w:rPr>
      </w:pPr>
      <w:r w:rsidRPr="00EF144E">
        <w:rPr>
          <w:rFonts w:asciiTheme="majorHAnsi" w:hAnsiTheme="majorHAnsi"/>
        </w:rPr>
        <w:t xml:space="preserve">For the US, </w:t>
      </w:r>
      <w:r w:rsidR="00EF144E">
        <w:rPr>
          <w:rFonts w:asciiTheme="majorHAnsi" w:hAnsiTheme="majorHAnsi"/>
        </w:rPr>
        <w:t>+</w:t>
      </w:r>
      <w:r w:rsidRPr="00EF144E">
        <w:rPr>
          <w:rFonts w:asciiTheme="majorHAnsi" w:hAnsiTheme="majorHAnsi"/>
        </w:rPr>
        <w:t xml:space="preserve">4.0% advertising </w:t>
      </w:r>
      <w:r w:rsidR="00EF144E">
        <w:rPr>
          <w:rFonts w:asciiTheme="majorHAnsi" w:hAnsiTheme="majorHAnsi"/>
        </w:rPr>
        <w:t xml:space="preserve">growth </w:t>
      </w:r>
      <w:r w:rsidRPr="00EF144E">
        <w:rPr>
          <w:rFonts w:asciiTheme="majorHAnsi" w:hAnsiTheme="majorHAnsi"/>
        </w:rPr>
        <w:t xml:space="preserve">in an even-numbered year </w:t>
      </w:r>
      <w:r w:rsidR="00EF144E">
        <w:rPr>
          <w:rFonts w:asciiTheme="majorHAnsi" w:hAnsiTheme="majorHAnsi"/>
        </w:rPr>
        <w:t>(</w:t>
      </w:r>
      <w:r w:rsidRPr="00EF144E">
        <w:rPr>
          <w:rFonts w:asciiTheme="majorHAnsi" w:hAnsiTheme="majorHAnsi"/>
        </w:rPr>
        <w:t>benefitting from massive incremental spend generated by Olympics and political spend</w:t>
      </w:r>
      <w:r w:rsidR="00EF144E">
        <w:rPr>
          <w:rFonts w:asciiTheme="majorHAnsi" w:hAnsiTheme="majorHAnsi"/>
        </w:rPr>
        <w:t>)</w:t>
      </w:r>
      <w:r w:rsidRPr="00EF144E">
        <w:rPr>
          <w:rFonts w:asciiTheme="majorHAnsi" w:hAnsiTheme="majorHAnsi"/>
        </w:rPr>
        <w:t xml:space="preserve">, is </w:t>
      </w:r>
      <w:r w:rsidR="00EF144E">
        <w:rPr>
          <w:rFonts w:asciiTheme="majorHAnsi" w:hAnsiTheme="majorHAnsi"/>
        </w:rPr>
        <w:t xml:space="preserve">actually </w:t>
      </w:r>
      <w:r w:rsidRPr="00EF144E">
        <w:rPr>
          <w:rFonts w:asciiTheme="majorHAnsi" w:hAnsiTheme="majorHAnsi"/>
        </w:rPr>
        <w:t xml:space="preserve">a mediocre performance. By comparison, 2010 growth </w:t>
      </w:r>
      <w:r w:rsidR="00EF144E">
        <w:rPr>
          <w:rFonts w:asciiTheme="majorHAnsi" w:hAnsiTheme="majorHAnsi"/>
        </w:rPr>
        <w:t>was</w:t>
      </w:r>
      <w:r w:rsidRPr="00EF144E">
        <w:rPr>
          <w:rFonts w:asciiTheme="majorHAnsi" w:hAnsiTheme="majorHAnsi"/>
        </w:rPr>
        <w:t xml:space="preserve"> +6.6% and 2012 grew +5.0%. </w:t>
      </w:r>
      <w:r w:rsidR="00C75F27" w:rsidRPr="00EF144E">
        <w:rPr>
          <w:rFonts w:asciiTheme="majorHAnsi" w:hAnsiTheme="majorHAnsi"/>
        </w:rPr>
        <w:t>This is all the more counter-intuitive that the economic environment keeps improving gradually</w:t>
      </w:r>
      <w:r w:rsidR="00EF144E">
        <w:rPr>
          <w:rFonts w:asciiTheme="majorHAnsi" w:hAnsiTheme="majorHAnsi"/>
        </w:rPr>
        <w:t>.</w:t>
      </w:r>
    </w:p>
    <w:p w:rsidR="00EF144E" w:rsidRDefault="00C75F27" w:rsidP="000D2CF9">
      <w:pPr>
        <w:rPr>
          <w:rFonts w:asciiTheme="majorHAnsi" w:hAnsiTheme="majorHAnsi"/>
        </w:rPr>
      </w:pPr>
      <w:r w:rsidRPr="00EF144E">
        <w:rPr>
          <w:rFonts w:asciiTheme="majorHAnsi" w:hAnsiTheme="majorHAnsi"/>
        </w:rPr>
        <w:t xml:space="preserve">We believe three factors contributed to this tepid performance. </w:t>
      </w:r>
    </w:p>
    <w:p w:rsidR="0009215A" w:rsidRPr="00EF144E" w:rsidRDefault="00C75F27" w:rsidP="000D2CF9">
      <w:pPr>
        <w:rPr>
          <w:rFonts w:asciiTheme="majorHAnsi" w:hAnsiTheme="majorHAnsi"/>
        </w:rPr>
      </w:pPr>
      <w:r w:rsidRPr="00EF144E">
        <w:rPr>
          <w:rFonts w:asciiTheme="majorHAnsi" w:hAnsiTheme="majorHAnsi"/>
        </w:rPr>
        <w:t xml:space="preserve">First, the non-recurrent drivers proved below expectations for the first time in a number of cycles. The Sochi Winter Olympics delivered lower ratings and advertising revenues than expected, and our estimate for incremental advertising sales has been revised to $450m, down from $600m (the </w:t>
      </w:r>
      <w:r w:rsidR="00A4211F">
        <w:rPr>
          <w:rFonts w:asciiTheme="majorHAnsi" w:hAnsiTheme="majorHAnsi"/>
        </w:rPr>
        <w:t>incremental sales</w:t>
      </w:r>
      <w:r w:rsidRPr="00EF144E">
        <w:rPr>
          <w:rFonts w:asciiTheme="majorHAnsi" w:hAnsiTheme="majorHAnsi"/>
        </w:rPr>
        <w:t xml:space="preserve"> delivered by the Vancouver Olympics in 2010</w:t>
      </w:r>
      <w:r w:rsidR="00A4211F">
        <w:rPr>
          <w:rFonts w:asciiTheme="majorHAnsi" w:hAnsiTheme="majorHAnsi"/>
        </w:rPr>
        <w:t>)</w:t>
      </w:r>
      <w:r w:rsidRPr="00EF144E">
        <w:rPr>
          <w:rFonts w:asciiTheme="majorHAnsi" w:hAnsiTheme="majorHAnsi"/>
        </w:rPr>
        <w:t xml:space="preserve">. </w:t>
      </w:r>
      <w:r w:rsidR="00A4211F">
        <w:rPr>
          <w:rFonts w:asciiTheme="majorHAnsi" w:hAnsiTheme="majorHAnsi"/>
        </w:rPr>
        <w:t>By contrast t</w:t>
      </w:r>
      <w:r w:rsidR="00306ABF" w:rsidRPr="00EF144E">
        <w:rPr>
          <w:rFonts w:asciiTheme="majorHAnsi" w:hAnsiTheme="majorHAnsi"/>
        </w:rPr>
        <w:t xml:space="preserve">he FIFA World Cup generated </w:t>
      </w:r>
      <w:r w:rsidR="00A4211F">
        <w:rPr>
          <w:rFonts w:asciiTheme="majorHAnsi" w:hAnsiTheme="majorHAnsi"/>
        </w:rPr>
        <w:t>the highest</w:t>
      </w:r>
      <w:r w:rsidR="00306ABF" w:rsidRPr="00EF144E">
        <w:rPr>
          <w:rFonts w:asciiTheme="majorHAnsi" w:hAnsiTheme="majorHAnsi"/>
        </w:rPr>
        <w:t xml:space="preserve"> interest</w:t>
      </w:r>
      <w:r w:rsidR="00A4211F">
        <w:rPr>
          <w:rFonts w:asciiTheme="majorHAnsi" w:hAnsiTheme="majorHAnsi"/>
        </w:rPr>
        <w:t xml:space="preserve"> ever in America for a soccer event</w:t>
      </w:r>
      <w:r w:rsidR="00306ABF" w:rsidRPr="00EF144E">
        <w:rPr>
          <w:rFonts w:asciiTheme="majorHAnsi" w:hAnsiTheme="majorHAnsi"/>
        </w:rPr>
        <w:t xml:space="preserve">. Ratings </w:t>
      </w:r>
      <w:r w:rsidR="00973EA4">
        <w:rPr>
          <w:rFonts w:asciiTheme="majorHAnsi" w:hAnsiTheme="majorHAnsi"/>
        </w:rPr>
        <w:t>grew by</w:t>
      </w:r>
      <w:r w:rsidR="00306ABF" w:rsidRPr="00EF144E">
        <w:rPr>
          <w:rFonts w:asciiTheme="majorHAnsi" w:hAnsiTheme="majorHAnsi"/>
        </w:rPr>
        <w:t xml:space="preserve"> approximately 20% on Spanish-speaking television (boosting the revenues of Univision and the entire Spanish segment) and by 52% on English-speaking networks (ESPN &amp; </w:t>
      </w:r>
      <w:proofErr w:type="gramStart"/>
      <w:r w:rsidR="00306ABF" w:rsidRPr="00EF144E">
        <w:rPr>
          <w:rFonts w:asciiTheme="majorHAnsi" w:hAnsiTheme="majorHAnsi"/>
        </w:rPr>
        <w:t>abc</w:t>
      </w:r>
      <w:proofErr w:type="gramEnd"/>
      <w:r w:rsidR="00306ABF" w:rsidRPr="00EF144E">
        <w:rPr>
          <w:rFonts w:asciiTheme="majorHAnsi" w:hAnsiTheme="majorHAnsi"/>
        </w:rPr>
        <w:t xml:space="preserve">). However </w:t>
      </w:r>
      <w:r w:rsidR="00C06B08" w:rsidRPr="00EF144E">
        <w:rPr>
          <w:rFonts w:asciiTheme="majorHAnsi" w:hAnsiTheme="majorHAnsi"/>
        </w:rPr>
        <w:t xml:space="preserve">soccer remains a secondary sport </w:t>
      </w:r>
      <w:r w:rsidR="00A4211F">
        <w:rPr>
          <w:rFonts w:asciiTheme="majorHAnsi" w:hAnsiTheme="majorHAnsi"/>
        </w:rPr>
        <w:t xml:space="preserve">in the US </w:t>
      </w:r>
      <w:r w:rsidR="00C06B08" w:rsidRPr="00EF144E">
        <w:rPr>
          <w:rFonts w:asciiTheme="majorHAnsi" w:hAnsiTheme="majorHAnsi"/>
        </w:rPr>
        <w:t xml:space="preserve">and </w:t>
      </w:r>
      <w:r w:rsidR="00306ABF" w:rsidRPr="00EF144E">
        <w:rPr>
          <w:rFonts w:asciiTheme="majorHAnsi" w:hAnsiTheme="majorHAnsi"/>
        </w:rPr>
        <w:t xml:space="preserve">the incremental ad sales, in the vicinity of $100 million, did not </w:t>
      </w:r>
      <w:r w:rsidR="00C06B08" w:rsidRPr="00EF144E">
        <w:rPr>
          <w:rFonts w:asciiTheme="majorHAnsi" w:hAnsiTheme="majorHAnsi"/>
        </w:rPr>
        <w:t xml:space="preserve">quite </w:t>
      </w:r>
      <w:r w:rsidR="00306ABF" w:rsidRPr="00EF144E">
        <w:rPr>
          <w:rFonts w:asciiTheme="majorHAnsi" w:hAnsiTheme="majorHAnsi"/>
        </w:rPr>
        <w:t xml:space="preserve">compensate for the lower-than-expected </w:t>
      </w:r>
      <w:r w:rsidR="00C06B08" w:rsidRPr="00EF144E">
        <w:rPr>
          <w:rFonts w:asciiTheme="majorHAnsi" w:hAnsiTheme="majorHAnsi"/>
        </w:rPr>
        <w:t xml:space="preserve">Olympic bonanza. </w:t>
      </w:r>
      <w:r w:rsidRPr="00EF144E">
        <w:rPr>
          <w:rFonts w:asciiTheme="majorHAnsi" w:hAnsiTheme="majorHAnsi"/>
        </w:rPr>
        <w:t xml:space="preserve">The mid-term </w:t>
      </w:r>
      <w:r w:rsidR="00306ABF" w:rsidRPr="00EF144E">
        <w:rPr>
          <w:rFonts w:asciiTheme="majorHAnsi" w:hAnsiTheme="majorHAnsi"/>
        </w:rPr>
        <w:t xml:space="preserve">general </w:t>
      </w:r>
      <w:r w:rsidRPr="00EF144E">
        <w:rPr>
          <w:rFonts w:asciiTheme="majorHAnsi" w:hAnsiTheme="majorHAnsi"/>
        </w:rPr>
        <w:t>elections generated less spending than the previous election cycle of 2012, partly because the main “battlegrounds” were located in relatively small markets while big markets like New York or California presented little uncertainty and therefore little incentive to throw huge amounts of ad spend.</w:t>
      </w:r>
      <w:r w:rsidR="00306ABF" w:rsidRPr="00EF144E">
        <w:rPr>
          <w:rFonts w:asciiTheme="majorHAnsi" w:hAnsiTheme="majorHAnsi"/>
        </w:rPr>
        <w:t xml:space="preserve"> We estimate the incremental ad revenues to be around $2.2 billion, i.e. 17% smaller than 2012 and barely on par with 2010.</w:t>
      </w:r>
    </w:p>
    <w:p w:rsidR="00C06B08" w:rsidRPr="00EF144E" w:rsidRDefault="00C06B08" w:rsidP="000D2CF9">
      <w:pPr>
        <w:rPr>
          <w:rFonts w:asciiTheme="majorHAnsi" w:hAnsiTheme="majorHAnsi"/>
        </w:rPr>
      </w:pPr>
      <w:r w:rsidRPr="00EF144E">
        <w:rPr>
          <w:rFonts w:asciiTheme="majorHAnsi" w:hAnsiTheme="majorHAnsi"/>
        </w:rPr>
        <w:t xml:space="preserve">A second factor was the micro-recession that the US experienced in the first quarter, partly due to a severe weather that hit retail, restaurants and automotive dealers, three of the biggest </w:t>
      </w:r>
      <w:r w:rsidR="00B33434">
        <w:rPr>
          <w:rFonts w:asciiTheme="majorHAnsi" w:hAnsiTheme="majorHAnsi"/>
        </w:rPr>
        <w:t xml:space="preserve">advertising </w:t>
      </w:r>
      <w:r w:rsidRPr="00EF144E">
        <w:rPr>
          <w:rFonts w:asciiTheme="majorHAnsi" w:hAnsiTheme="majorHAnsi"/>
        </w:rPr>
        <w:lastRenderedPageBreak/>
        <w:t xml:space="preserve">spending </w:t>
      </w:r>
      <w:r w:rsidR="00B33434">
        <w:rPr>
          <w:rFonts w:asciiTheme="majorHAnsi" w:hAnsiTheme="majorHAnsi"/>
        </w:rPr>
        <w:t>sectors</w:t>
      </w:r>
      <w:r w:rsidRPr="00EF144E">
        <w:rPr>
          <w:rFonts w:asciiTheme="majorHAnsi" w:hAnsiTheme="majorHAnsi"/>
        </w:rPr>
        <w:t xml:space="preserve">. The economy started to </w:t>
      </w:r>
      <w:r w:rsidR="00973EA4" w:rsidRPr="00EF144E">
        <w:rPr>
          <w:rFonts w:asciiTheme="majorHAnsi" w:hAnsiTheme="majorHAnsi"/>
        </w:rPr>
        <w:t xml:space="preserve">steadily </w:t>
      </w:r>
      <w:r w:rsidR="00973EA4">
        <w:rPr>
          <w:rFonts w:asciiTheme="majorHAnsi" w:hAnsiTheme="majorHAnsi"/>
        </w:rPr>
        <w:t>grow again</w:t>
      </w:r>
      <w:r w:rsidRPr="00EF144E">
        <w:rPr>
          <w:rFonts w:asciiTheme="majorHAnsi" w:hAnsiTheme="majorHAnsi"/>
        </w:rPr>
        <w:t xml:space="preserve"> from the second quarter, but many advertisers had already entered into a cautious, saving mode.</w:t>
      </w:r>
    </w:p>
    <w:p w:rsidR="00C06B08" w:rsidRPr="00EF144E" w:rsidRDefault="00C06B08" w:rsidP="000D2CF9">
      <w:pPr>
        <w:rPr>
          <w:rFonts w:asciiTheme="majorHAnsi" w:hAnsiTheme="majorHAnsi"/>
        </w:rPr>
      </w:pPr>
      <w:r w:rsidRPr="00EF144E">
        <w:rPr>
          <w:rFonts w:asciiTheme="majorHAnsi" w:hAnsiTheme="majorHAnsi"/>
        </w:rPr>
        <w:t xml:space="preserve">The last and most </w:t>
      </w:r>
      <w:r w:rsidR="00EF144E">
        <w:rPr>
          <w:rFonts w:asciiTheme="majorHAnsi" w:hAnsiTheme="majorHAnsi"/>
        </w:rPr>
        <w:t>fundamental</w:t>
      </w:r>
      <w:r w:rsidRPr="00EF144E">
        <w:rPr>
          <w:rFonts w:asciiTheme="majorHAnsi" w:hAnsiTheme="majorHAnsi"/>
        </w:rPr>
        <w:t xml:space="preserve"> factor</w:t>
      </w:r>
      <w:r w:rsidR="009A1FAE">
        <w:rPr>
          <w:rFonts w:asciiTheme="majorHAnsi" w:hAnsiTheme="majorHAnsi"/>
        </w:rPr>
        <w:t xml:space="preserve"> in the slowdown of 2014</w:t>
      </w:r>
      <w:r w:rsidRPr="00EF144E">
        <w:rPr>
          <w:rFonts w:asciiTheme="majorHAnsi" w:hAnsiTheme="majorHAnsi"/>
        </w:rPr>
        <w:t xml:space="preserve"> is the shift</w:t>
      </w:r>
      <w:r w:rsidR="00EF144E">
        <w:rPr>
          <w:rFonts w:asciiTheme="majorHAnsi" w:hAnsiTheme="majorHAnsi"/>
        </w:rPr>
        <w:t xml:space="preserve"> of media mixes</w:t>
      </w:r>
      <w:r w:rsidRPr="00EF144E">
        <w:rPr>
          <w:rFonts w:asciiTheme="majorHAnsi" w:hAnsiTheme="majorHAnsi"/>
        </w:rPr>
        <w:t xml:space="preserve"> to</w:t>
      </w:r>
      <w:r w:rsidR="00EF144E">
        <w:rPr>
          <w:rFonts w:asciiTheme="majorHAnsi" w:hAnsiTheme="majorHAnsi"/>
        </w:rPr>
        <w:t>wards</w:t>
      </w:r>
      <w:r w:rsidRPr="00EF144E">
        <w:rPr>
          <w:rFonts w:asciiTheme="majorHAnsi" w:hAnsiTheme="majorHAnsi"/>
        </w:rPr>
        <w:t xml:space="preserve"> digital. The market share of digital media </w:t>
      </w:r>
      <w:r w:rsidR="00387FB1" w:rsidRPr="00EF144E">
        <w:rPr>
          <w:rFonts w:asciiTheme="majorHAnsi" w:hAnsiTheme="majorHAnsi"/>
        </w:rPr>
        <w:t xml:space="preserve">(27% in 2013, 30% this year) </w:t>
      </w:r>
      <w:r w:rsidRPr="00EF144E">
        <w:rPr>
          <w:rFonts w:asciiTheme="majorHAnsi" w:hAnsiTheme="majorHAnsi"/>
        </w:rPr>
        <w:t xml:space="preserve">is </w:t>
      </w:r>
      <w:r w:rsidR="00387FB1" w:rsidRPr="00EF144E">
        <w:rPr>
          <w:rFonts w:asciiTheme="majorHAnsi" w:hAnsiTheme="majorHAnsi"/>
        </w:rPr>
        <w:t xml:space="preserve">barely above global average and still </w:t>
      </w:r>
      <w:r w:rsidRPr="00EF144E">
        <w:rPr>
          <w:rFonts w:asciiTheme="majorHAnsi" w:hAnsiTheme="majorHAnsi"/>
        </w:rPr>
        <w:t>relatively low compared to</w:t>
      </w:r>
      <w:r w:rsidR="00387FB1" w:rsidRPr="00EF144E">
        <w:rPr>
          <w:rFonts w:asciiTheme="majorHAnsi" w:hAnsiTheme="majorHAnsi"/>
        </w:rPr>
        <w:t xml:space="preserve"> the most advanced markets in Europe and Asia. We believe that in the last 12 months a number of large verticals that were lagging behind and relatively conservative in their media mix</w:t>
      </w:r>
      <w:r w:rsidR="009A1FAE">
        <w:rPr>
          <w:rFonts w:asciiTheme="majorHAnsi" w:hAnsiTheme="majorHAnsi"/>
        </w:rPr>
        <w:t>es</w:t>
      </w:r>
      <w:r w:rsidR="00387FB1" w:rsidRPr="00EF144E">
        <w:rPr>
          <w:rFonts w:asciiTheme="majorHAnsi" w:hAnsiTheme="majorHAnsi"/>
        </w:rPr>
        <w:t xml:space="preserve"> (e.g. CPG/FMCG, pharmaceuticals) have started to embrace digital formats on a bigger scale. Thanks to the availability of new reporting tools</w:t>
      </w:r>
      <w:r w:rsidR="00734042" w:rsidRPr="00EF144E">
        <w:rPr>
          <w:rFonts w:asciiTheme="majorHAnsi" w:hAnsiTheme="majorHAnsi"/>
        </w:rPr>
        <w:t xml:space="preserve"> and new </w:t>
      </w:r>
      <w:r w:rsidR="00387FB1" w:rsidRPr="00EF144E">
        <w:rPr>
          <w:rFonts w:asciiTheme="majorHAnsi" w:hAnsiTheme="majorHAnsi"/>
        </w:rPr>
        <w:t>buying</w:t>
      </w:r>
      <w:r w:rsidR="00734042" w:rsidRPr="00EF144E">
        <w:rPr>
          <w:rFonts w:asciiTheme="majorHAnsi" w:hAnsiTheme="majorHAnsi"/>
        </w:rPr>
        <w:t xml:space="preserve"> mechanisms</w:t>
      </w:r>
      <w:r w:rsidR="00387FB1" w:rsidRPr="00EF144E">
        <w:rPr>
          <w:rFonts w:asciiTheme="majorHAnsi" w:hAnsiTheme="majorHAnsi"/>
        </w:rPr>
        <w:t>, digital media are increasingly used</w:t>
      </w:r>
      <w:r w:rsidR="00734042" w:rsidRPr="00EF144E">
        <w:rPr>
          <w:rFonts w:asciiTheme="majorHAnsi" w:hAnsiTheme="majorHAnsi"/>
        </w:rPr>
        <w:t xml:space="preserve"> in branding campaigns and </w:t>
      </w:r>
      <w:r w:rsidR="00B33434">
        <w:rPr>
          <w:rFonts w:asciiTheme="majorHAnsi" w:hAnsiTheme="majorHAnsi"/>
        </w:rPr>
        <w:t xml:space="preserve">by </w:t>
      </w:r>
      <w:r w:rsidR="00734042" w:rsidRPr="00EF144E">
        <w:rPr>
          <w:rFonts w:asciiTheme="majorHAnsi" w:hAnsiTheme="majorHAnsi"/>
        </w:rPr>
        <w:t>brand-oriented advertisers, and not just in direct response campaigns or by direct response advertisers. Marketers are now more comfortable with the level of brand safety and accountability provided in the digital media space than they were just one or two years ago, and they are also keen to seize the opportunities created by data-based programmatic buying techniques.</w:t>
      </w:r>
      <w:r w:rsidR="009A1FAE">
        <w:rPr>
          <w:rFonts w:asciiTheme="majorHAnsi" w:hAnsiTheme="majorHAnsi"/>
        </w:rPr>
        <w:t xml:space="preserve"> </w:t>
      </w:r>
      <w:r w:rsidR="009A1FAE" w:rsidRPr="001F1EA5">
        <w:rPr>
          <w:rFonts w:asciiTheme="majorHAnsi" w:hAnsiTheme="majorHAnsi"/>
        </w:rPr>
        <w:t>The shift to digital is having a deflationary impact on the entire market as digital formats, whenever comparable to traditional format, look cheaper and therefore erode the pricing power of traditional media categories.</w:t>
      </w:r>
    </w:p>
    <w:p w:rsidR="00734042" w:rsidRPr="00EF144E" w:rsidRDefault="00734042" w:rsidP="000D2CF9">
      <w:pPr>
        <w:rPr>
          <w:rFonts w:asciiTheme="majorHAnsi" w:hAnsiTheme="majorHAnsi"/>
        </w:rPr>
      </w:pPr>
      <w:r w:rsidRPr="00EF144E">
        <w:rPr>
          <w:rFonts w:asciiTheme="majorHAnsi" w:hAnsiTheme="majorHAnsi"/>
        </w:rPr>
        <w:t>Weaker-than-expected even-year drivers and increased</w:t>
      </w:r>
      <w:r w:rsidR="00D66079" w:rsidRPr="00EF144E">
        <w:rPr>
          <w:rFonts w:asciiTheme="majorHAnsi" w:hAnsiTheme="majorHAnsi"/>
        </w:rPr>
        <w:t>, diversified</w:t>
      </w:r>
      <w:r w:rsidRPr="00EF144E">
        <w:rPr>
          <w:rFonts w:asciiTheme="majorHAnsi" w:hAnsiTheme="majorHAnsi"/>
        </w:rPr>
        <w:t xml:space="preserve"> competition from digital media formats combined to cause </w:t>
      </w:r>
      <w:r w:rsidR="00B33434">
        <w:rPr>
          <w:rFonts w:asciiTheme="majorHAnsi" w:hAnsiTheme="majorHAnsi"/>
        </w:rPr>
        <w:t>a disappointing</w:t>
      </w:r>
      <w:r w:rsidRPr="00EF144E">
        <w:rPr>
          <w:rFonts w:asciiTheme="majorHAnsi" w:hAnsiTheme="majorHAnsi"/>
        </w:rPr>
        <w:t xml:space="preserve"> year for television</w:t>
      </w:r>
      <w:r w:rsidR="00326F80" w:rsidRPr="00EF144E">
        <w:rPr>
          <w:rFonts w:asciiTheme="majorHAnsi" w:hAnsiTheme="majorHAnsi"/>
        </w:rPr>
        <w:t xml:space="preserve">. </w:t>
      </w:r>
      <w:r w:rsidRPr="00EF144E">
        <w:rPr>
          <w:rFonts w:asciiTheme="majorHAnsi" w:hAnsiTheme="majorHAnsi"/>
        </w:rPr>
        <w:t>Overall</w:t>
      </w:r>
      <w:r w:rsidR="009A40F6" w:rsidRPr="00EF144E">
        <w:rPr>
          <w:rFonts w:asciiTheme="majorHAnsi" w:hAnsiTheme="majorHAnsi"/>
        </w:rPr>
        <w:t xml:space="preserve"> TV ad revenues grew by +4.8%, i.e. below our </w:t>
      </w:r>
      <w:r w:rsidR="00D67F7C" w:rsidRPr="00EF144E">
        <w:rPr>
          <w:rFonts w:asciiTheme="majorHAnsi" w:hAnsiTheme="majorHAnsi"/>
        </w:rPr>
        <w:t>spring</w:t>
      </w:r>
      <w:r w:rsidR="009A40F6" w:rsidRPr="00EF144E">
        <w:rPr>
          <w:rFonts w:asciiTheme="majorHAnsi" w:hAnsiTheme="majorHAnsi"/>
        </w:rPr>
        <w:t xml:space="preserve"> forecast (+8.6%) and </w:t>
      </w:r>
      <w:r w:rsidR="00B33434">
        <w:rPr>
          <w:rFonts w:asciiTheme="majorHAnsi" w:hAnsiTheme="majorHAnsi"/>
        </w:rPr>
        <w:t xml:space="preserve">much </w:t>
      </w:r>
      <w:r w:rsidR="009A40F6" w:rsidRPr="00EF144E">
        <w:rPr>
          <w:rFonts w:asciiTheme="majorHAnsi" w:hAnsiTheme="majorHAnsi"/>
        </w:rPr>
        <w:t>below the previous even-year performance (+8.7%</w:t>
      </w:r>
      <w:r w:rsidR="00B33434">
        <w:rPr>
          <w:rFonts w:asciiTheme="majorHAnsi" w:hAnsiTheme="majorHAnsi"/>
        </w:rPr>
        <w:t xml:space="preserve"> in 2012</w:t>
      </w:r>
      <w:r w:rsidR="009A40F6" w:rsidRPr="00EF144E">
        <w:rPr>
          <w:rFonts w:asciiTheme="majorHAnsi" w:hAnsiTheme="majorHAnsi"/>
        </w:rPr>
        <w:t xml:space="preserve">). Local TV </w:t>
      </w:r>
      <w:r w:rsidR="00326F80" w:rsidRPr="00EF144E">
        <w:rPr>
          <w:rFonts w:asciiTheme="majorHAnsi" w:hAnsiTheme="majorHAnsi"/>
        </w:rPr>
        <w:t xml:space="preserve">ad revenues </w:t>
      </w:r>
      <w:r w:rsidR="009A40F6" w:rsidRPr="00EF144E">
        <w:rPr>
          <w:rFonts w:asciiTheme="majorHAnsi" w:hAnsiTheme="majorHAnsi"/>
        </w:rPr>
        <w:t>grew</w:t>
      </w:r>
      <w:r w:rsidR="00326F80" w:rsidRPr="00EF144E">
        <w:rPr>
          <w:rFonts w:asciiTheme="majorHAnsi" w:hAnsiTheme="majorHAnsi"/>
        </w:rPr>
        <w:t xml:space="preserve"> by </w:t>
      </w:r>
      <w:r w:rsidR="00B33434">
        <w:rPr>
          <w:rFonts w:asciiTheme="majorHAnsi" w:hAnsiTheme="majorHAnsi"/>
        </w:rPr>
        <w:t>+</w:t>
      </w:r>
      <w:r w:rsidR="00326F80" w:rsidRPr="00EF144E">
        <w:rPr>
          <w:rFonts w:asciiTheme="majorHAnsi" w:hAnsiTheme="majorHAnsi"/>
        </w:rPr>
        <w:t xml:space="preserve">9% (compared to </w:t>
      </w:r>
      <w:r w:rsidR="00B33434">
        <w:rPr>
          <w:rFonts w:asciiTheme="majorHAnsi" w:hAnsiTheme="majorHAnsi"/>
        </w:rPr>
        <w:t>+</w:t>
      </w:r>
      <w:r w:rsidR="00326F80" w:rsidRPr="00EF144E">
        <w:rPr>
          <w:rFonts w:asciiTheme="majorHAnsi" w:hAnsiTheme="majorHAnsi"/>
        </w:rPr>
        <w:t xml:space="preserve">16% in 2012) while non-political revenues were flat. Excluding Olympics, broadcast networks ad sales decreased by -3.9% and cable networks ad revenues slowed down to +3% (compared to </w:t>
      </w:r>
      <w:r w:rsidR="00B33434">
        <w:rPr>
          <w:rFonts w:asciiTheme="majorHAnsi" w:hAnsiTheme="majorHAnsi"/>
        </w:rPr>
        <w:t>+</w:t>
      </w:r>
      <w:r w:rsidR="00326F80" w:rsidRPr="00EF144E">
        <w:rPr>
          <w:rFonts w:asciiTheme="majorHAnsi" w:hAnsiTheme="majorHAnsi"/>
        </w:rPr>
        <w:t>5.8% last year). Cable is still outperforming broadcast networks in viewing and monetizing trends but both national TV segments are now hit by the same syndromes: gradually declining ratings and reduced pricing power. This year’s TV Upfronts (advanced sales for the broadcast season 2014-2015) led to a decrease in volumes and lower inflation rates than in previous years while the “scatter” market (short-term buys) showed lower-than-usual price increases.</w:t>
      </w:r>
    </w:p>
    <w:p w:rsidR="001E64F8" w:rsidRPr="00EF144E" w:rsidRDefault="001E64F8" w:rsidP="000D2CF9">
      <w:pPr>
        <w:rPr>
          <w:rFonts w:asciiTheme="majorHAnsi" w:hAnsiTheme="majorHAnsi"/>
        </w:rPr>
      </w:pPr>
      <w:r w:rsidRPr="00EF144E">
        <w:rPr>
          <w:rFonts w:asciiTheme="majorHAnsi" w:hAnsiTheme="majorHAnsi"/>
        </w:rPr>
        <w:t>Meanwhile digital media was the big winner</w:t>
      </w:r>
      <w:r w:rsidR="009316F8" w:rsidRPr="00EF144E">
        <w:rPr>
          <w:rFonts w:asciiTheme="majorHAnsi" w:hAnsiTheme="majorHAnsi"/>
        </w:rPr>
        <w:t xml:space="preserve"> in 2014</w:t>
      </w:r>
      <w:r w:rsidR="00B33434">
        <w:rPr>
          <w:rFonts w:asciiTheme="majorHAnsi" w:hAnsiTheme="majorHAnsi"/>
        </w:rPr>
        <w:t>,</w:t>
      </w:r>
      <w:r w:rsidR="009316F8" w:rsidRPr="00EF144E">
        <w:rPr>
          <w:rFonts w:asciiTheme="majorHAnsi" w:hAnsiTheme="majorHAnsi"/>
        </w:rPr>
        <w:t xml:space="preserve"> with ad revenues expected to grow by +15.6%. Search grew by </w:t>
      </w:r>
      <w:r w:rsidR="00B33434">
        <w:rPr>
          <w:rFonts w:asciiTheme="majorHAnsi" w:hAnsiTheme="majorHAnsi"/>
        </w:rPr>
        <w:t>+</w:t>
      </w:r>
      <w:r w:rsidR="009316F8" w:rsidRPr="00EF144E">
        <w:rPr>
          <w:rFonts w:asciiTheme="majorHAnsi" w:hAnsiTheme="majorHAnsi"/>
        </w:rPr>
        <w:t xml:space="preserve">12%, video by </w:t>
      </w:r>
      <w:r w:rsidR="00B33434">
        <w:rPr>
          <w:rFonts w:asciiTheme="majorHAnsi" w:hAnsiTheme="majorHAnsi"/>
        </w:rPr>
        <w:t>+</w:t>
      </w:r>
      <w:r w:rsidR="009316F8" w:rsidRPr="00EF144E">
        <w:rPr>
          <w:rFonts w:asciiTheme="majorHAnsi" w:hAnsiTheme="majorHAnsi"/>
        </w:rPr>
        <w:t xml:space="preserve">28%, social media by </w:t>
      </w:r>
      <w:r w:rsidR="00B33434">
        <w:rPr>
          <w:rFonts w:asciiTheme="majorHAnsi" w:hAnsiTheme="majorHAnsi"/>
        </w:rPr>
        <w:t>+</w:t>
      </w:r>
      <w:r w:rsidR="009316F8" w:rsidRPr="00EF144E">
        <w:rPr>
          <w:rFonts w:asciiTheme="majorHAnsi" w:hAnsiTheme="majorHAnsi"/>
        </w:rPr>
        <w:t xml:space="preserve">65%. Those growth rates were partly achieved at the expense of traditional media, but also at the expense of traditional banner display (+1.3%) </w:t>
      </w:r>
      <w:r w:rsidR="00B33434">
        <w:rPr>
          <w:rFonts w:asciiTheme="majorHAnsi" w:hAnsiTheme="majorHAnsi"/>
        </w:rPr>
        <w:t>which</w:t>
      </w:r>
      <w:r w:rsidR="009316F8" w:rsidRPr="00EF144E">
        <w:rPr>
          <w:rFonts w:asciiTheme="majorHAnsi" w:hAnsiTheme="majorHAnsi"/>
        </w:rPr>
        <w:t xml:space="preserve"> represents only 16% of total internet advertising. Mobile impressions (on tablets and smartphones) accounted for $12.5bn (+77%); this represents 25% of digital media spend, compared to just 9% two years ago.</w:t>
      </w:r>
    </w:p>
    <w:p w:rsidR="00110E41" w:rsidRPr="00EF144E" w:rsidRDefault="00110E41" w:rsidP="000D2CF9">
      <w:pPr>
        <w:rPr>
          <w:rFonts w:asciiTheme="majorHAnsi" w:hAnsiTheme="majorHAnsi"/>
        </w:rPr>
      </w:pPr>
      <w:r w:rsidRPr="00EF144E">
        <w:rPr>
          <w:rFonts w:asciiTheme="majorHAnsi" w:hAnsiTheme="majorHAnsi"/>
        </w:rPr>
        <w:t>All traditional media categories saw a decrease of market share. Print continued its decline with newspaper declining by -9.2% to $16.4bn and magazines losing -10.9% to $10.7b</w:t>
      </w:r>
      <w:r w:rsidR="00A4211F">
        <w:rPr>
          <w:rFonts w:asciiTheme="majorHAnsi" w:hAnsiTheme="majorHAnsi"/>
        </w:rPr>
        <w:t>n</w:t>
      </w:r>
      <w:r w:rsidRPr="00EF144E">
        <w:rPr>
          <w:rFonts w:asciiTheme="majorHAnsi" w:hAnsiTheme="majorHAnsi"/>
        </w:rPr>
        <w:t xml:space="preserve">; that does not include ad revenues derived by publishers from digital platforms, but those are not growing fast enough to offset the decline of paper-based sales. Radio ad sales decreased by -3.2% to $14.7bn; again that does not include digital radio advertising. Digital radio is growing double digit but again </w:t>
      </w:r>
      <w:r w:rsidRPr="00EF144E">
        <w:rPr>
          <w:rFonts w:asciiTheme="majorHAnsi" w:hAnsiTheme="majorHAnsi"/>
        </w:rPr>
        <w:lastRenderedPageBreak/>
        <w:t xml:space="preserve">it is still too small so far to offset the erosion of revenues on the legacy linear broadcast platform. Out-of-home media revenues decreased by -0.8% as the growth of digital OOH sales (+16%) no longer offset the stagnation of traditional billboards </w:t>
      </w:r>
      <w:r w:rsidR="00EF144E" w:rsidRPr="00EF144E">
        <w:rPr>
          <w:rFonts w:asciiTheme="majorHAnsi" w:hAnsiTheme="majorHAnsi"/>
        </w:rPr>
        <w:t xml:space="preserve">(-0.9%) </w:t>
      </w:r>
      <w:r w:rsidRPr="00EF144E">
        <w:rPr>
          <w:rFonts w:asciiTheme="majorHAnsi" w:hAnsiTheme="majorHAnsi"/>
        </w:rPr>
        <w:t>an</w:t>
      </w:r>
      <w:r w:rsidR="00EF144E" w:rsidRPr="00EF144E">
        <w:rPr>
          <w:rFonts w:asciiTheme="majorHAnsi" w:hAnsiTheme="majorHAnsi"/>
        </w:rPr>
        <w:t>d</w:t>
      </w:r>
      <w:r w:rsidRPr="00EF144E">
        <w:rPr>
          <w:rFonts w:asciiTheme="majorHAnsi" w:hAnsiTheme="majorHAnsi"/>
        </w:rPr>
        <w:t xml:space="preserve"> in cinemas</w:t>
      </w:r>
      <w:r w:rsidR="00EF144E" w:rsidRPr="00EF144E">
        <w:rPr>
          <w:rFonts w:asciiTheme="majorHAnsi" w:hAnsiTheme="majorHAnsi"/>
        </w:rPr>
        <w:t xml:space="preserve"> (-6%)</w:t>
      </w:r>
      <w:r w:rsidRPr="00EF144E">
        <w:rPr>
          <w:rFonts w:asciiTheme="majorHAnsi" w:hAnsiTheme="majorHAnsi"/>
        </w:rPr>
        <w:t>.</w:t>
      </w:r>
    </w:p>
    <w:p w:rsidR="00110E41" w:rsidRDefault="00110E41" w:rsidP="000D2CF9">
      <w:pPr>
        <w:rPr>
          <w:rFonts w:asciiTheme="majorHAnsi" w:hAnsiTheme="majorHAnsi"/>
        </w:rPr>
      </w:pPr>
      <w:r w:rsidRPr="00EF144E">
        <w:rPr>
          <w:rFonts w:asciiTheme="majorHAnsi" w:hAnsiTheme="majorHAnsi"/>
        </w:rPr>
        <w:t xml:space="preserve">For 2015, MAGNA GLOBAL is expecting </w:t>
      </w:r>
      <w:r w:rsidR="00EF144E" w:rsidRPr="00EF144E">
        <w:rPr>
          <w:rFonts w:asciiTheme="majorHAnsi" w:hAnsiTheme="majorHAnsi"/>
        </w:rPr>
        <w:t>US advertising revenues to grow by +2.7% to $169.5bn. This is equivalent to the 2014 growth if we factor out the non-recurring revenues of 2014</w:t>
      </w:r>
      <w:r w:rsidR="00B33434">
        <w:rPr>
          <w:rFonts w:asciiTheme="majorHAnsi" w:hAnsiTheme="majorHAnsi"/>
        </w:rPr>
        <w:t>,</w:t>
      </w:r>
      <w:r w:rsidR="00EF144E" w:rsidRPr="00EF144E">
        <w:rPr>
          <w:rFonts w:asciiTheme="majorHAnsi" w:hAnsiTheme="majorHAnsi"/>
        </w:rPr>
        <w:t xml:space="preserve"> and slightly stronger than the last odd-numbered year (2013</w:t>
      </w:r>
      <w:r w:rsidR="00B33434">
        <w:rPr>
          <w:rFonts w:asciiTheme="majorHAnsi" w:hAnsiTheme="majorHAnsi"/>
        </w:rPr>
        <w:t>: +2.4%</w:t>
      </w:r>
      <w:r w:rsidR="00EF144E" w:rsidRPr="00EF144E">
        <w:rPr>
          <w:rFonts w:asciiTheme="majorHAnsi" w:hAnsiTheme="majorHAnsi"/>
        </w:rPr>
        <w:t>). Television revenues will decrease by -1.4%. Digital media will grow by +15.5% to reach a 31% market share. Newspapers will decrease by -8.2%, magazines by -9.4% and radio by -1.2%. OOH will re-accelerate to +3.7%.</w:t>
      </w:r>
    </w:p>
    <w:p w:rsidR="00CC04A9" w:rsidRDefault="00CC04A9" w:rsidP="00CC04A9">
      <w:pPr>
        <w:pStyle w:val="Heading1"/>
      </w:pPr>
      <w:r>
        <w:t>Latin America</w:t>
      </w:r>
      <w:r w:rsidR="001F1EA5">
        <w:t>: Driven by Media Cost Inflation</w:t>
      </w:r>
    </w:p>
    <w:p w:rsidR="00CC04A9" w:rsidRPr="00CC04A9" w:rsidRDefault="00CC04A9" w:rsidP="00CC04A9">
      <w:pPr>
        <w:rPr>
          <w:rFonts w:asciiTheme="majorHAnsi" w:hAnsiTheme="majorHAnsi"/>
        </w:rPr>
      </w:pPr>
      <w:r w:rsidRPr="00CC04A9">
        <w:rPr>
          <w:rFonts w:asciiTheme="majorHAnsi" w:hAnsiTheme="majorHAnsi"/>
        </w:rPr>
        <w:t xml:space="preserve">LATAM advertising revenues increased by +14.9% in 2014, accelerating from last year’s +13.1% </w:t>
      </w:r>
      <w:proofErr w:type="gramStart"/>
      <w:r w:rsidRPr="00CC04A9">
        <w:rPr>
          <w:rFonts w:asciiTheme="majorHAnsi" w:hAnsiTheme="majorHAnsi"/>
        </w:rPr>
        <w:t>growth</w:t>
      </w:r>
      <w:proofErr w:type="gramEnd"/>
      <w:r w:rsidRPr="00CC04A9">
        <w:rPr>
          <w:rFonts w:asciiTheme="majorHAnsi" w:hAnsiTheme="majorHAnsi"/>
        </w:rPr>
        <w:t xml:space="preserve">. We expect that advertising revenues will grow by </w:t>
      </w:r>
      <w:r w:rsidR="00976CC6">
        <w:rPr>
          <w:rFonts w:asciiTheme="majorHAnsi" w:hAnsiTheme="majorHAnsi"/>
        </w:rPr>
        <w:t xml:space="preserve">a similar rate </w:t>
      </w:r>
      <w:r w:rsidRPr="00CC04A9">
        <w:rPr>
          <w:rFonts w:asciiTheme="majorHAnsi" w:hAnsiTheme="majorHAnsi"/>
        </w:rPr>
        <w:t xml:space="preserve">in 2015 </w:t>
      </w:r>
      <w:r w:rsidR="00976CC6">
        <w:rPr>
          <w:rFonts w:asciiTheme="majorHAnsi" w:hAnsiTheme="majorHAnsi"/>
        </w:rPr>
        <w:t>(+12.9%) despite</w:t>
      </w:r>
      <w:r w:rsidRPr="00CC04A9">
        <w:rPr>
          <w:rFonts w:asciiTheme="majorHAnsi" w:hAnsiTheme="majorHAnsi"/>
        </w:rPr>
        <w:t xml:space="preserve"> the lack of the </w:t>
      </w:r>
      <w:r w:rsidR="00B33434">
        <w:rPr>
          <w:rFonts w:asciiTheme="majorHAnsi" w:hAnsiTheme="majorHAnsi"/>
        </w:rPr>
        <w:t xml:space="preserve">FIFA </w:t>
      </w:r>
      <w:r w:rsidRPr="00CC04A9">
        <w:rPr>
          <w:rFonts w:asciiTheme="majorHAnsi" w:hAnsiTheme="majorHAnsi"/>
        </w:rPr>
        <w:t xml:space="preserve">World Cup tailwinds seen in 2014. LATAM has the strongest nominal advertising spend growth of any global region, and is significantly ahead of </w:t>
      </w:r>
      <w:r w:rsidR="00B33434">
        <w:rPr>
          <w:rFonts w:asciiTheme="majorHAnsi" w:hAnsiTheme="majorHAnsi"/>
        </w:rPr>
        <w:t xml:space="preserve">the </w:t>
      </w:r>
      <w:r w:rsidRPr="00CC04A9">
        <w:rPr>
          <w:rFonts w:asciiTheme="majorHAnsi" w:hAnsiTheme="majorHAnsi"/>
        </w:rPr>
        <w:t xml:space="preserve">global growth rates of </w:t>
      </w:r>
      <w:r>
        <w:rPr>
          <w:rFonts w:asciiTheme="majorHAnsi" w:hAnsiTheme="majorHAnsi"/>
        </w:rPr>
        <w:t>+</w:t>
      </w:r>
      <w:r w:rsidRPr="00CC04A9">
        <w:rPr>
          <w:rFonts w:asciiTheme="majorHAnsi" w:hAnsiTheme="majorHAnsi"/>
        </w:rPr>
        <w:t xml:space="preserve">5.5% this year. LATAM will grow from representing 8.5% of total ad spend this year to representing 13% of total ad spend by 2019. </w:t>
      </w:r>
    </w:p>
    <w:p w:rsidR="00CC04A9" w:rsidRPr="00CC04A9" w:rsidRDefault="00CC04A9" w:rsidP="00CC04A9">
      <w:pPr>
        <w:rPr>
          <w:rFonts w:asciiTheme="majorHAnsi" w:hAnsiTheme="majorHAnsi"/>
        </w:rPr>
      </w:pPr>
      <w:r w:rsidRPr="00CC04A9">
        <w:rPr>
          <w:rFonts w:asciiTheme="majorHAnsi" w:hAnsiTheme="majorHAnsi"/>
        </w:rPr>
        <w:t xml:space="preserve">Ad spend growth in LATAM is a multi-faceted </w:t>
      </w:r>
      <w:r w:rsidR="003925C0">
        <w:rPr>
          <w:rFonts w:asciiTheme="majorHAnsi" w:hAnsiTheme="majorHAnsi"/>
        </w:rPr>
        <w:t xml:space="preserve">and paradoxical </w:t>
      </w:r>
      <w:r w:rsidRPr="00CC04A9">
        <w:rPr>
          <w:rFonts w:asciiTheme="majorHAnsi" w:hAnsiTheme="majorHAnsi"/>
        </w:rPr>
        <w:t xml:space="preserve">story. On one hand, economic growth in many of the largest markets is slowing </w:t>
      </w:r>
      <w:r>
        <w:rPr>
          <w:rFonts w:asciiTheme="majorHAnsi" w:hAnsiTheme="majorHAnsi"/>
        </w:rPr>
        <w:t xml:space="preserve">down; </w:t>
      </w:r>
      <w:r w:rsidR="004E2815">
        <w:rPr>
          <w:rFonts w:asciiTheme="majorHAnsi" w:hAnsiTheme="majorHAnsi"/>
        </w:rPr>
        <w:t xml:space="preserve">the </w:t>
      </w:r>
      <w:r>
        <w:rPr>
          <w:rFonts w:asciiTheme="majorHAnsi" w:hAnsiTheme="majorHAnsi"/>
        </w:rPr>
        <w:t xml:space="preserve">IMF recently </w:t>
      </w:r>
      <w:r w:rsidR="004E2815">
        <w:rPr>
          <w:rFonts w:asciiTheme="majorHAnsi" w:hAnsiTheme="majorHAnsi"/>
        </w:rPr>
        <w:t>reduced</w:t>
      </w:r>
      <w:r>
        <w:rPr>
          <w:rFonts w:asciiTheme="majorHAnsi" w:hAnsiTheme="majorHAnsi"/>
        </w:rPr>
        <w:t xml:space="preserve"> its </w:t>
      </w:r>
      <w:r w:rsidR="004E2815">
        <w:rPr>
          <w:rFonts w:asciiTheme="majorHAnsi" w:hAnsiTheme="majorHAnsi"/>
        </w:rPr>
        <w:t>forecasts</w:t>
      </w:r>
      <w:r>
        <w:rPr>
          <w:rFonts w:asciiTheme="majorHAnsi" w:hAnsiTheme="majorHAnsi"/>
        </w:rPr>
        <w:t xml:space="preserve"> for LATA</w:t>
      </w:r>
      <w:r w:rsidR="004E2815">
        <w:rPr>
          <w:rFonts w:asciiTheme="majorHAnsi" w:hAnsiTheme="majorHAnsi"/>
        </w:rPr>
        <w:t>M real GDP growth to just +1.3% this y</w:t>
      </w:r>
      <w:r>
        <w:rPr>
          <w:rFonts w:asciiTheme="majorHAnsi" w:hAnsiTheme="majorHAnsi"/>
        </w:rPr>
        <w:t>e</w:t>
      </w:r>
      <w:r w:rsidR="004E2815">
        <w:rPr>
          <w:rFonts w:asciiTheme="majorHAnsi" w:hAnsiTheme="majorHAnsi"/>
        </w:rPr>
        <w:t>a</w:t>
      </w:r>
      <w:r>
        <w:rPr>
          <w:rFonts w:asciiTheme="majorHAnsi" w:hAnsiTheme="majorHAnsi"/>
        </w:rPr>
        <w:t xml:space="preserve">r and </w:t>
      </w:r>
      <w:r w:rsidR="004E2815">
        <w:rPr>
          <w:rFonts w:asciiTheme="majorHAnsi" w:hAnsiTheme="majorHAnsi"/>
        </w:rPr>
        <w:t>+</w:t>
      </w:r>
      <w:r>
        <w:rPr>
          <w:rFonts w:asciiTheme="majorHAnsi" w:hAnsiTheme="majorHAnsi"/>
        </w:rPr>
        <w:t>2.2</w:t>
      </w:r>
      <w:r w:rsidR="004E2815">
        <w:rPr>
          <w:rFonts w:asciiTheme="majorHAnsi" w:hAnsiTheme="majorHAnsi"/>
        </w:rPr>
        <w:t xml:space="preserve">% next year, compared to the growth rates of 5%-6% experienced three years ago in the region; </w:t>
      </w:r>
      <w:r w:rsidRPr="00CC04A9">
        <w:rPr>
          <w:rFonts w:asciiTheme="majorHAnsi" w:hAnsiTheme="majorHAnsi"/>
        </w:rPr>
        <w:t xml:space="preserve">Brazil’s real GDP only </w:t>
      </w:r>
      <w:r w:rsidR="004E2815">
        <w:rPr>
          <w:rFonts w:asciiTheme="majorHAnsi" w:hAnsiTheme="majorHAnsi"/>
        </w:rPr>
        <w:t>gre</w:t>
      </w:r>
      <w:r w:rsidRPr="00CC04A9">
        <w:rPr>
          <w:rFonts w:asciiTheme="majorHAnsi" w:hAnsiTheme="majorHAnsi"/>
        </w:rPr>
        <w:t xml:space="preserve">w by </w:t>
      </w:r>
      <w:r w:rsidR="004E2815">
        <w:rPr>
          <w:rFonts w:asciiTheme="majorHAnsi" w:hAnsiTheme="majorHAnsi"/>
        </w:rPr>
        <w:t>+</w:t>
      </w:r>
      <w:r w:rsidRPr="00CC04A9">
        <w:rPr>
          <w:rFonts w:asciiTheme="majorHAnsi" w:hAnsiTheme="majorHAnsi"/>
        </w:rPr>
        <w:t xml:space="preserve">0.3% in 2014 according to the IMF which also cut the 2015 forecast to just </w:t>
      </w:r>
      <w:r w:rsidR="004E2815">
        <w:rPr>
          <w:rFonts w:asciiTheme="majorHAnsi" w:hAnsiTheme="majorHAnsi"/>
        </w:rPr>
        <w:t>+</w:t>
      </w:r>
      <w:r w:rsidRPr="00CC04A9">
        <w:rPr>
          <w:rFonts w:asciiTheme="majorHAnsi" w:hAnsiTheme="majorHAnsi"/>
        </w:rPr>
        <w:t>1.4%</w:t>
      </w:r>
      <w:r>
        <w:rPr>
          <w:rFonts w:asciiTheme="majorHAnsi" w:hAnsiTheme="majorHAnsi"/>
        </w:rPr>
        <w:t xml:space="preserve">. </w:t>
      </w:r>
      <w:r w:rsidR="005E274E">
        <w:rPr>
          <w:rFonts w:asciiTheme="majorHAnsi" w:hAnsiTheme="majorHAnsi"/>
        </w:rPr>
        <w:t>On the other hand</w:t>
      </w:r>
      <w:r w:rsidRPr="00CC04A9">
        <w:rPr>
          <w:rFonts w:asciiTheme="majorHAnsi" w:hAnsiTheme="majorHAnsi"/>
        </w:rPr>
        <w:t>, inflation is rampant in markets such as Venezuela and Argentina</w:t>
      </w:r>
      <w:r w:rsidR="005E274E">
        <w:rPr>
          <w:rFonts w:asciiTheme="majorHAnsi" w:hAnsiTheme="majorHAnsi"/>
        </w:rPr>
        <w:t xml:space="preserve"> (30% or more), </w:t>
      </w:r>
      <w:r w:rsidR="001F1EA5">
        <w:rPr>
          <w:rFonts w:asciiTheme="majorHAnsi" w:hAnsiTheme="majorHAnsi"/>
        </w:rPr>
        <w:t xml:space="preserve">and moderately high in Brazil or Mexico (mid-single digit rates) </w:t>
      </w:r>
      <w:r w:rsidR="005E274E">
        <w:rPr>
          <w:rFonts w:asciiTheme="majorHAnsi" w:hAnsiTheme="majorHAnsi"/>
        </w:rPr>
        <w:t>which is driving media costs and, mechanically</w:t>
      </w:r>
      <w:r w:rsidR="003925C0">
        <w:rPr>
          <w:rFonts w:asciiTheme="majorHAnsi" w:hAnsiTheme="majorHAnsi"/>
        </w:rPr>
        <w:t>, media spend.</w:t>
      </w:r>
      <w:r w:rsidRPr="00CC04A9">
        <w:rPr>
          <w:rFonts w:asciiTheme="majorHAnsi" w:hAnsiTheme="majorHAnsi"/>
        </w:rPr>
        <w:t xml:space="preserve"> As a result, much of the strong LATAM </w:t>
      </w:r>
      <w:r w:rsidR="003925C0">
        <w:rPr>
          <w:rFonts w:asciiTheme="majorHAnsi" w:hAnsiTheme="majorHAnsi"/>
        </w:rPr>
        <w:t xml:space="preserve">advertising </w:t>
      </w:r>
      <w:r w:rsidRPr="00CC04A9">
        <w:rPr>
          <w:rFonts w:asciiTheme="majorHAnsi" w:hAnsiTheme="majorHAnsi"/>
        </w:rPr>
        <w:t xml:space="preserve">growth </w:t>
      </w:r>
      <w:r w:rsidR="003925C0">
        <w:rPr>
          <w:rFonts w:asciiTheme="majorHAnsi" w:hAnsiTheme="majorHAnsi"/>
        </w:rPr>
        <w:t xml:space="preserve">(and almost all of it in Venezuela and Argentina) </w:t>
      </w:r>
      <w:r w:rsidRPr="00CC04A9">
        <w:rPr>
          <w:rFonts w:asciiTheme="majorHAnsi" w:hAnsiTheme="majorHAnsi"/>
        </w:rPr>
        <w:t xml:space="preserve">is a result of nominal price increases </w:t>
      </w:r>
      <w:r w:rsidR="003925C0">
        <w:rPr>
          <w:rFonts w:asciiTheme="majorHAnsi" w:hAnsiTheme="majorHAnsi"/>
        </w:rPr>
        <w:t>and latent</w:t>
      </w:r>
      <w:r w:rsidRPr="00CC04A9">
        <w:rPr>
          <w:rFonts w:asciiTheme="majorHAnsi" w:hAnsiTheme="majorHAnsi"/>
        </w:rPr>
        <w:t xml:space="preserve"> currency devaluation rather than real term </w:t>
      </w:r>
      <w:r w:rsidR="003925C0">
        <w:rPr>
          <w:rFonts w:asciiTheme="majorHAnsi" w:hAnsiTheme="majorHAnsi"/>
        </w:rPr>
        <w:t>spending</w:t>
      </w:r>
      <w:r w:rsidRPr="00CC04A9">
        <w:rPr>
          <w:rFonts w:asciiTheme="majorHAnsi" w:hAnsiTheme="majorHAnsi"/>
        </w:rPr>
        <w:t xml:space="preserve"> growth. </w:t>
      </w:r>
    </w:p>
    <w:p w:rsidR="00CC04A9" w:rsidRPr="00CC04A9" w:rsidRDefault="00CC04A9" w:rsidP="00CC04A9">
      <w:pPr>
        <w:rPr>
          <w:rFonts w:asciiTheme="majorHAnsi" w:hAnsiTheme="majorHAnsi"/>
        </w:rPr>
      </w:pPr>
      <w:r w:rsidRPr="00CC04A9">
        <w:rPr>
          <w:rFonts w:asciiTheme="majorHAnsi" w:hAnsiTheme="majorHAnsi"/>
        </w:rPr>
        <w:t xml:space="preserve">Furthermore, the growth trajectory of the region was uneven throughout the year. The </w:t>
      </w:r>
      <w:r w:rsidR="00B33434">
        <w:rPr>
          <w:rFonts w:asciiTheme="majorHAnsi" w:hAnsiTheme="majorHAnsi"/>
        </w:rPr>
        <w:t xml:space="preserve">FIFA </w:t>
      </w:r>
      <w:r w:rsidRPr="00CC04A9">
        <w:rPr>
          <w:rFonts w:asciiTheme="majorHAnsi" w:hAnsiTheme="majorHAnsi"/>
        </w:rPr>
        <w:t>World Cup was a boost earlier in 2014 in many of the largest markets, especially in</w:t>
      </w:r>
      <w:r>
        <w:rPr>
          <w:rFonts w:asciiTheme="majorHAnsi" w:hAnsiTheme="majorHAnsi"/>
        </w:rPr>
        <w:t xml:space="preserve"> </w:t>
      </w:r>
      <w:r w:rsidR="00B33434">
        <w:rPr>
          <w:rFonts w:asciiTheme="majorHAnsi" w:hAnsiTheme="majorHAnsi"/>
        </w:rPr>
        <w:t xml:space="preserve">the </w:t>
      </w:r>
      <w:r>
        <w:rPr>
          <w:rFonts w:asciiTheme="majorHAnsi" w:hAnsiTheme="majorHAnsi"/>
        </w:rPr>
        <w:t>host country</w:t>
      </w:r>
      <w:r w:rsidRPr="00CC04A9">
        <w:rPr>
          <w:rFonts w:asciiTheme="majorHAnsi" w:hAnsiTheme="majorHAnsi"/>
        </w:rPr>
        <w:t xml:space="preserve"> </w:t>
      </w:r>
      <w:r w:rsidRPr="00CC04A9">
        <w:rPr>
          <w:rFonts w:asciiTheme="majorHAnsi" w:hAnsiTheme="majorHAnsi"/>
          <w:b/>
        </w:rPr>
        <w:t>Brazil</w:t>
      </w:r>
      <w:r w:rsidRPr="00CC04A9">
        <w:rPr>
          <w:rFonts w:asciiTheme="majorHAnsi" w:hAnsiTheme="majorHAnsi"/>
        </w:rPr>
        <w:t xml:space="preserve">. While overall </w:t>
      </w:r>
      <w:r w:rsidR="001F1EA5">
        <w:rPr>
          <w:rFonts w:asciiTheme="majorHAnsi" w:hAnsiTheme="majorHAnsi"/>
        </w:rPr>
        <w:t>the World Cup</w:t>
      </w:r>
      <w:r w:rsidR="00A87E72">
        <w:rPr>
          <w:rFonts w:asciiTheme="majorHAnsi" w:hAnsiTheme="majorHAnsi"/>
        </w:rPr>
        <w:t xml:space="preserve"> driver</w:t>
      </w:r>
      <w:r w:rsidRPr="00CC04A9">
        <w:rPr>
          <w:rFonts w:asciiTheme="majorHAnsi" w:hAnsiTheme="majorHAnsi"/>
        </w:rPr>
        <w:t xml:space="preserve"> was not </w:t>
      </w:r>
      <w:r w:rsidR="001948C8">
        <w:rPr>
          <w:rFonts w:asciiTheme="majorHAnsi" w:hAnsiTheme="majorHAnsi"/>
        </w:rPr>
        <w:t xml:space="preserve">quite </w:t>
      </w:r>
      <w:r w:rsidRPr="00CC04A9">
        <w:rPr>
          <w:rFonts w:asciiTheme="majorHAnsi" w:hAnsiTheme="majorHAnsi"/>
        </w:rPr>
        <w:t>as strong as anticipated due to the economic difficulties and social unrest, it still r</w:t>
      </w:r>
      <w:r w:rsidR="001948C8">
        <w:rPr>
          <w:rFonts w:asciiTheme="majorHAnsi" w:hAnsiTheme="majorHAnsi"/>
        </w:rPr>
        <w:t>esulted in high</w:t>
      </w:r>
      <w:r w:rsidRPr="00CC04A9">
        <w:rPr>
          <w:rFonts w:asciiTheme="majorHAnsi" w:hAnsiTheme="majorHAnsi"/>
        </w:rPr>
        <w:t xml:space="preserve"> year-on-year growth earlier in the </w:t>
      </w:r>
      <w:r w:rsidR="001948C8">
        <w:rPr>
          <w:rFonts w:asciiTheme="majorHAnsi" w:hAnsiTheme="majorHAnsi"/>
        </w:rPr>
        <w:t xml:space="preserve">first half of the </w:t>
      </w:r>
      <w:r w:rsidRPr="00CC04A9">
        <w:rPr>
          <w:rFonts w:asciiTheme="majorHAnsi" w:hAnsiTheme="majorHAnsi"/>
        </w:rPr>
        <w:t xml:space="preserve">year. Run rates since then have come down </w:t>
      </w:r>
      <w:r w:rsidR="001948C8">
        <w:rPr>
          <w:rFonts w:asciiTheme="majorHAnsi" w:hAnsiTheme="majorHAnsi"/>
        </w:rPr>
        <w:t xml:space="preserve">dramatically </w:t>
      </w:r>
      <w:r w:rsidRPr="00CC04A9">
        <w:rPr>
          <w:rFonts w:asciiTheme="majorHAnsi" w:hAnsiTheme="majorHAnsi"/>
        </w:rPr>
        <w:t xml:space="preserve">so there is </w:t>
      </w:r>
      <w:r w:rsidR="001948C8">
        <w:rPr>
          <w:rFonts w:asciiTheme="majorHAnsi" w:hAnsiTheme="majorHAnsi"/>
        </w:rPr>
        <w:t>little</w:t>
      </w:r>
      <w:r w:rsidRPr="00CC04A9">
        <w:rPr>
          <w:rFonts w:asciiTheme="majorHAnsi" w:hAnsiTheme="majorHAnsi"/>
        </w:rPr>
        <w:t xml:space="preserve"> positive momentum heading into 2015. Positive one-time event impact will be seen again in 2016 with the Summer Olympics in Rio. In 2015, many brands might therefore be conservative with regard to ad spending.</w:t>
      </w:r>
      <w:r w:rsidR="001948C8">
        <w:rPr>
          <w:rFonts w:asciiTheme="majorHAnsi" w:hAnsiTheme="majorHAnsi"/>
        </w:rPr>
        <w:t xml:space="preserve"> </w:t>
      </w:r>
      <w:r w:rsidR="009A1FAE" w:rsidRPr="009A1FAE">
        <w:rPr>
          <w:rFonts w:asciiTheme="majorHAnsi" w:hAnsiTheme="majorHAnsi"/>
        </w:rPr>
        <w:t xml:space="preserve">Following a </w:t>
      </w:r>
      <w:r w:rsidR="009A1FAE">
        <w:rPr>
          <w:rFonts w:asciiTheme="majorHAnsi" w:hAnsiTheme="majorHAnsi"/>
        </w:rPr>
        <w:t>+</w:t>
      </w:r>
      <w:r w:rsidR="009A1FAE" w:rsidRPr="009A1FAE">
        <w:rPr>
          <w:rFonts w:asciiTheme="majorHAnsi" w:hAnsiTheme="majorHAnsi"/>
        </w:rPr>
        <w:t>12.2% increase this year, we therefore anticipate the market to slow down to +5.9% in 2015</w:t>
      </w:r>
      <w:r w:rsidR="009A1FAE">
        <w:rPr>
          <w:rFonts w:asciiTheme="majorHAnsi" w:hAnsiTheme="majorHAnsi"/>
        </w:rPr>
        <w:t xml:space="preserve"> (i.e. barely the national inflation rate)</w:t>
      </w:r>
      <w:r w:rsidR="009A1FAE" w:rsidRPr="009A1FAE">
        <w:rPr>
          <w:rFonts w:asciiTheme="majorHAnsi" w:hAnsiTheme="majorHAnsi"/>
        </w:rPr>
        <w:t>, before re</w:t>
      </w:r>
      <w:r w:rsidR="009A1FAE">
        <w:rPr>
          <w:rFonts w:asciiTheme="majorHAnsi" w:hAnsiTheme="majorHAnsi"/>
        </w:rPr>
        <w:t>accelerating</w:t>
      </w:r>
      <w:r w:rsidR="009A1FAE" w:rsidRPr="009A1FAE">
        <w:rPr>
          <w:rFonts w:asciiTheme="majorHAnsi" w:hAnsiTheme="majorHAnsi"/>
        </w:rPr>
        <w:t xml:space="preserve"> to +8.3% in 2016 with the Rio Olympics.</w:t>
      </w:r>
    </w:p>
    <w:p w:rsidR="00CC04A9" w:rsidRPr="00CC04A9" w:rsidRDefault="00CC04A9" w:rsidP="00CC04A9">
      <w:pPr>
        <w:rPr>
          <w:rFonts w:asciiTheme="majorHAnsi" w:hAnsiTheme="majorHAnsi"/>
        </w:rPr>
      </w:pPr>
      <w:r w:rsidRPr="00CC04A9">
        <w:rPr>
          <w:rFonts w:asciiTheme="majorHAnsi" w:hAnsiTheme="majorHAnsi"/>
        </w:rPr>
        <w:lastRenderedPageBreak/>
        <w:t xml:space="preserve">The highest growth rate in </w:t>
      </w:r>
      <w:r w:rsidR="00976CC6">
        <w:rPr>
          <w:rFonts w:asciiTheme="majorHAnsi" w:hAnsiTheme="majorHAnsi"/>
        </w:rPr>
        <w:t>the region</w:t>
      </w:r>
      <w:r w:rsidRPr="00CC04A9">
        <w:rPr>
          <w:rFonts w:asciiTheme="majorHAnsi" w:hAnsiTheme="majorHAnsi"/>
        </w:rPr>
        <w:t xml:space="preserve"> came in </w:t>
      </w:r>
      <w:r w:rsidRPr="00CC04A9">
        <w:rPr>
          <w:rFonts w:asciiTheme="majorHAnsi" w:hAnsiTheme="majorHAnsi"/>
          <w:b/>
        </w:rPr>
        <w:t>Venezuela</w:t>
      </w:r>
      <w:r w:rsidRPr="00CC04A9">
        <w:rPr>
          <w:rFonts w:asciiTheme="majorHAnsi" w:hAnsiTheme="majorHAnsi"/>
        </w:rPr>
        <w:t xml:space="preserve"> (+40%) due to the very high economic inflation in the country, reflected in media costs. </w:t>
      </w:r>
      <w:r w:rsidRPr="00CC04A9">
        <w:rPr>
          <w:rFonts w:asciiTheme="majorHAnsi" w:hAnsiTheme="majorHAnsi"/>
          <w:b/>
        </w:rPr>
        <w:t>Argentina</w:t>
      </w:r>
      <w:r w:rsidRPr="00CC04A9">
        <w:rPr>
          <w:rFonts w:asciiTheme="majorHAnsi" w:hAnsiTheme="majorHAnsi"/>
        </w:rPr>
        <w:t xml:space="preserve"> was a close second at +34% (with economic inflation in the vicinity of 30-35%). The lowest growth in LATAM was found in two smaller </w:t>
      </w:r>
      <w:r w:rsidR="00D67F7C" w:rsidRPr="00CC04A9">
        <w:rPr>
          <w:rFonts w:asciiTheme="majorHAnsi" w:hAnsiTheme="majorHAnsi"/>
        </w:rPr>
        <w:t>markets</w:t>
      </w:r>
      <w:r w:rsidRPr="00CC04A9">
        <w:rPr>
          <w:rFonts w:asciiTheme="majorHAnsi" w:hAnsiTheme="majorHAnsi"/>
        </w:rPr>
        <w:t xml:space="preserve"> with low inflation and new regulatory restrictions that hit advertising spend this year: </w:t>
      </w:r>
      <w:r w:rsidRPr="00CC04A9">
        <w:rPr>
          <w:rFonts w:asciiTheme="majorHAnsi" w:hAnsiTheme="majorHAnsi"/>
          <w:b/>
        </w:rPr>
        <w:t>Ecuador</w:t>
      </w:r>
      <w:r w:rsidRPr="00CC04A9">
        <w:rPr>
          <w:rFonts w:asciiTheme="majorHAnsi" w:hAnsiTheme="majorHAnsi"/>
        </w:rPr>
        <w:t xml:space="preserve"> (-3.7%) and </w:t>
      </w:r>
      <w:r w:rsidRPr="00CC04A9">
        <w:rPr>
          <w:rFonts w:asciiTheme="majorHAnsi" w:hAnsiTheme="majorHAnsi"/>
          <w:b/>
        </w:rPr>
        <w:t>Chile</w:t>
      </w:r>
      <w:r w:rsidRPr="00CC04A9">
        <w:rPr>
          <w:rFonts w:asciiTheme="majorHAnsi" w:hAnsiTheme="majorHAnsi"/>
        </w:rPr>
        <w:t xml:space="preserve"> (-2.6%). </w:t>
      </w:r>
      <w:r w:rsidRPr="00CC04A9">
        <w:rPr>
          <w:rFonts w:asciiTheme="majorHAnsi" w:hAnsiTheme="majorHAnsi"/>
          <w:b/>
        </w:rPr>
        <w:t>Mexico</w:t>
      </w:r>
      <w:r w:rsidRPr="00CC04A9">
        <w:rPr>
          <w:rFonts w:asciiTheme="majorHAnsi" w:hAnsiTheme="majorHAnsi"/>
        </w:rPr>
        <w:t xml:space="preserve"> grew by +9.4%, close to expectations.</w:t>
      </w:r>
    </w:p>
    <w:p w:rsidR="00CC04A9" w:rsidRPr="00CC04A9" w:rsidRDefault="00CC04A9" w:rsidP="00CC04A9">
      <w:pPr>
        <w:rPr>
          <w:rFonts w:asciiTheme="majorHAnsi" w:hAnsiTheme="majorHAnsi"/>
        </w:rPr>
      </w:pPr>
      <w:r w:rsidRPr="00CC04A9">
        <w:rPr>
          <w:rFonts w:asciiTheme="majorHAnsi" w:hAnsiTheme="majorHAnsi"/>
        </w:rPr>
        <w:t xml:space="preserve">TV remains the dominant media format in LATAM, with total spend share of nearly 59%. While this is slightly lower than years previous, it remains the highest of any global region and well above the global average (39.7%). Digital, on the other hand, remains small in LATAM at just </w:t>
      </w:r>
      <w:proofErr w:type="gramStart"/>
      <w:r w:rsidRPr="00CC04A9">
        <w:rPr>
          <w:rFonts w:asciiTheme="majorHAnsi" w:hAnsiTheme="majorHAnsi"/>
        </w:rPr>
        <w:t>under</w:t>
      </w:r>
      <w:proofErr w:type="gramEnd"/>
      <w:r w:rsidRPr="00CC04A9">
        <w:rPr>
          <w:rFonts w:asciiTheme="majorHAnsi" w:hAnsiTheme="majorHAnsi"/>
        </w:rPr>
        <w:t xml:space="preserve"> 14% of total spend, far below the global average this year (27.7%). It is growing rapidly from a small base (+25.9% growth in 2014) driven by strong growth in social media advertising (+67.3%) and video (+51.2%). While search and display are currently the dominant digital formats in the region, social is expected to pass banner display to become</w:t>
      </w:r>
      <w:r>
        <w:rPr>
          <w:rFonts w:asciiTheme="majorHAnsi" w:hAnsiTheme="majorHAnsi"/>
        </w:rPr>
        <w:t xml:space="preserve"> the #2 digital </w:t>
      </w:r>
      <w:proofErr w:type="gramStart"/>
      <w:r>
        <w:rPr>
          <w:rFonts w:asciiTheme="majorHAnsi" w:hAnsiTheme="majorHAnsi"/>
        </w:rPr>
        <w:t>format</w:t>
      </w:r>
      <w:proofErr w:type="gramEnd"/>
      <w:r>
        <w:rPr>
          <w:rFonts w:asciiTheme="majorHAnsi" w:hAnsiTheme="majorHAnsi"/>
        </w:rPr>
        <w:t xml:space="preserve"> by 2019.</w:t>
      </w:r>
    </w:p>
    <w:p w:rsidR="00CC04A9" w:rsidRPr="00697880" w:rsidRDefault="001948C8" w:rsidP="00697880">
      <w:pPr>
        <w:pStyle w:val="Heading1"/>
      </w:pPr>
      <w:r w:rsidRPr="00697880">
        <w:t>Digital</w:t>
      </w:r>
      <w:r w:rsidR="0039530E" w:rsidRPr="00697880">
        <w:t xml:space="preserve"> </w:t>
      </w:r>
      <w:r w:rsidR="001F1EA5" w:rsidRPr="00697880">
        <w:t>M</w:t>
      </w:r>
      <w:r w:rsidR="00605CC7" w:rsidRPr="00697880">
        <w:t>edia R</w:t>
      </w:r>
      <w:r w:rsidR="00A4211F">
        <w:t>each</w:t>
      </w:r>
      <w:r w:rsidR="001F1EA5" w:rsidRPr="00697880">
        <w:t xml:space="preserve"> 30% Market Share</w:t>
      </w:r>
      <w:r w:rsidR="00A4211F">
        <w:t xml:space="preserve"> in 2015</w:t>
      </w:r>
    </w:p>
    <w:p w:rsidR="00976CC6" w:rsidRPr="00A87E72" w:rsidRDefault="00976CC6" w:rsidP="00F0459C">
      <w:pPr>
        <w:rPr>
          <w:rFonts w:asciiTheme="majorHAnsi" w:hAnsiTheme="majorHAnsi"/>
        </w:rPr>
      </w:pPr>
      <w:r w:rsidRPr="00A87E72">
        <w:rPr>
          <w:rFonts w:asciiTheme="majorHAnsi" w:hAnsiTheme="majorHAnsi"/>
        </w:rPr>
        <w:t xml:space="preserve">Digital media grew by </w:t>
      </w:r>
      <w:r w:rsidR="00A4211F">
        <w:rPr>
          <w:rFonts w:asciiTheme="majorHAnsi" w:hAnsiTheme="majorHAnsi"/>
        </w:rPr>
        <w:t>+</w:t>
      </w:r>
      <w:r w:rsidRPr="00A87E72">
        <w:rPr>
          <w:rFonts w:asciiTheme="majorHAnsi" w:hAnsiTheme="majorHAnsi"/>
        </w:rPr>
        <w:t>17% this year to reach $142 billion. This is $</w:t>
      </w:r>
      <w:r w:rsidRPr="00697880">
        <w:rPr>
          <w:rFonts w:asciiTheme="majorHAnsi" w:hAnsiTheme="majorHAnsi"/>
        </w:rPr>
        <w:t>20bn more than</w:t>
      </w:r>
      <w:r w:rsidR="00161FDD" w:rsidRPr="00697880">
        <w:rPr>
          <w:rFonts w:asciiTheme="majorHAnsi" w:hAnsiTheme="majorHAnsi"/>
        </w:rPr>
        <w:t xml:space="preserve"> in</w:t>
      </w:r>
      <w:r w:rsidRPr="00697880">
        <w:rPr>
          <w:rFonts w:asciiTheme="majorHAnsi" w:hAnsiTheme="majorHAnsi"/>
        </w:rPr>
        <w:t xml:space="preserve"> 2013</w:t>
      </w:r>
      <w:r w:rsidRPr="00A87E72">
        <w:rPr>
          <w:rFonts w:asciiTheme="majorHAnsi" w:hAnsiTheme="majorHAnsi"/>
        </w:rPr>
        <w:t xml:space="preserve">. The rise of digital is barely slowing down compared to the growth experienced in 2012 and 2013 (18-19%). Digital media (search, display, video, social) now attract 27.7% of global advertising spend. </w:t>
      </w:r>
      <w:r w:rsidR="00A87E72">
        <w:rPr>
          <w:rFonts w:asciiTheme="majorHAnsi" w:hAnsiTheme="majorHAnsi"/>
        </w:rPr>
        <w:t xml:space="preserve">Digital media revenues are expected to grow by </w:t>
      </w:r>
      <w:r w:rsidR="00A4211F">
        <w:rPr>
          <w:rFonts w:asciiTheme="majorHAnsi" w:hAnsiTheme="majorHAnsi"/>
        </w:rPr>
        <w:t>+</w:t>
      </w:r>
      <w:r w:rsidR="00A87E72">
        <w:rPr>
          <w:rFonts w:asciiTheme="majorHAnsi" w:hAnsiTheme="majorHAnsi"/>
        </w:rPr>
        <w:t>15.1% in 2015 to reach 30.4% market share.</w:t>
      </w:r>
    </w:p>
    <w:p w:rsidR="00A87E72" w:rsidRDefault="00A87E72" w:rsidP="00976CC6">
      <w:pPr>
        <w:spacing w:before="0"/>
        <w:rPr>
          <w:rFonts w:asciiTheme="majorHAnsi" w:hAnsiTheme="majorHAnsi"/>
        </w:rPr>
      </w:pPr>
      <w:r>
        <w:rPr>
          <w:rFonts w:asciiTheme="majorHAnsi" w:hAnsiTheme="majorHAnsi"/>
        </w:rPr>
        <w:t xml:space="preserve">Digital is still significantly smaller than television on a global level (39.7% share in 2014) but it’s now slightly larger than print and radio combined, and </w:t>
      </w:r>
      <w:r w:rsidRPr="00A87E72">
        <w:rPr>
          <w:rFonts w:asciiTheme="majorHAnsi" w:hAnsiTheme="majorHAnsi"/>
          <w:b/>
        </w:rPr>
        <w:t>d</w:t>
      </w:r>
      <w:r w:rsidR="00976CC6" w:rsidRPr="00A87E72">
        <w:rPr>
          <w:rFonts w:asciiTheme="majorHAnsi" w:hAnsiTheme="majorHAnsi"/>
          <w:b/>
        </w:rPr>
        <w:t xml:space="preserve">igital media is already the #1 media category in 14 of the 73 markets </w:t>
      </w:r>
      <w:r w:rsidR="00976CC6" w:rsidRPr="00A4211F">
        <w:rPr>
          <w:rFonts w:asciiTheme="majorHAnsi" w:hAnsiTheme="majorHAnsi"/>
        </w:rPr>
        <w:t>analyzed by MAGNA GLOBAL</w:t>
      </w:r>
      <w:r w:rsidR="00976CC6" w:rsidRPr="00A87E72">
        <w:rPr>
          <w:rFonts w:asciiTheme="majorHAnsi" w:hAnsiTheme="majorHAnsi"/>
        </w:rPr>
        <w:t xml:space="preserve"> in this update, including the UK (highest share in the world: 47%), Australia, Canada, Germany, China, Sweden and the Netherlands. </w:t>
      </w:r>
      <w:r w:rsidR="00856A69">
        <w:rPr>
          <w:rFonts w:asciiTheme="majorHAnsi" w:hAnsiTheme="majorHAnsi"/>
        </w:rPr>
        <w:t xml:space="preserve">Two more markets will join the list in 2015 (including France) and </w:t>
      </w:r>
      <w:r w:rsidR="00BC6CEC">
        <w:rPr>
          <w:rFonts w:asciiTheme="majorHAnsi" w:hAnsiTheme="majorHAnsi"/>
        </w:rPr>
        <w:t>seven more by</w:t>
      </w:r>
      <w:r w:rsidR="00856A69">
        <w:rPr>
          <w:rFonts w:asciiTheme="majorHAnsi" w:hAnsiTheme="majorHAnsi"/>
        </w:rPr>
        <w:t xml:space="preserve"> 2017 </w:t>
      </w:r>
      <w:r w:rsidR="00BC6CEC">
        <w:rPr>
          <w:rFonts w:asciiTheme="majorHAnsi" w:hAnsiTheme="majorHAnsi"/>
        </w:rPr>
        <w:t>when the total reaches 23</w:t>
      </w:r>
      <w:r w:rsidR="00856A69">
        <w:rPr>
          <w:rFonts w:asciiTheme="majorHAnsi" w:hAnsiTheme="majorHAnsi"/>
        </w:rPr>
        <w:t xml:space="preserve"> (including the</w:t>
      </w:r>
      <w:r w:rsidR="00976CC6" w:rsidRPr="00A87E72">
        <w:rPr>
          <w:rFonts w:asciiTheme="majorHAnsi" w:hAnsiTheme="majorHAnsi"/>
        </w:rPr>
        <w:t xml:space="preserve"> US</w:t>
      </w:r>
      <w:r w:rsidR="00856A69">
        <w:rPr>
          <w:rFonts w:asciiTheme="majorHAnsi" w:hAnsiTheme="majorHAnsi"/>
        </w:rPr>
        <w:t>)</w:t>
      </w:r>
      <w:r w:rsidR="00976CC6" w:rsidRPr="00A87E72">
        <w:rPr>
          <w:rFonts w:asciiTheme="majorHAnsi" w:hAnsiTheme="majorHAnsi"/>
        </w:rPr>
        <w:t>.</w:t>
      </w:r>
      <w:r>
        <w:rPr>
          <w:rFonts w:asciiTheme="majorHAnsi" w:hAnsiTheme="majorHAnsi"/>
        </w:rPr>
        <w:t xml:space="preserve"> Other markets, like India or Russia, are lagging behind, but b</w:t>
      </w:r>
      <w:r w:rsidRPr="00A87E72">
        <w:rPr>
          <w:rFonts w:asciiTheme="majorHAnsi" w:hAnsiTheme="majorHAnsi"/>
        </w:rPr>
        <w:t xml:space="preserve">ased on our long-term forecasts, </w:t>
      </w:r>
      <w:r w:rsidRPr="00A87E72">
        <w:rPr>
          <w:rFonts w:asciiTheme="majorHAnsi" w:hAnsiTheme="majorHAnsi"/>
          <w:b/>
        </w:rPr>
        <w:t>digital media will catch up with television in 2019, when both account for 38% of global advertising revenues</w:t>
      </w:r>
      <w:r w:rsidRPr="00A87E72">
        <w:rPr>
          <w:rFonts w:asciiTheme="majorHAnsi" w:hAnsiTheme="majorHAnsi"/>
        </w:rPr>
        <w:t>.</w:t>
      </w:r>
    </w:p>
    <w:p w:rsidR="00207C6B" w:rsidRDefault="00A87E72" w:rsidP="00976CC6">
      <w:pPr>
        <w:spacing w:before="0"/>
        <w:rPr>
          <w:rFonts w:asciiTheme="majorHAnsi" w:hAnsiTheme="majorHAnsi"/>
        </w:rPr>
      </w:pPr>
      <w:r>
        <w:rPr>
          <w:rFonts w:asciiTheme="majorHAnsi" w:hAnsiTheme="majorHAnsi"/>
        </w:rPr>
        <w:t>In terms of formats and segments, digital is driven by social (+64% this year, +37% next year) and by video (</w:t>
      </w:r>
      <w:r w:rsidR="00BC6CEC">
        <w:rPr>
          <w:rFonts w:asciiTheme="majorHAnsi" w:hAnsiTheme="majorHAnsi"/>
        </w:rPr>
        <w:t>+</w:t>
      </w:r>
      <w:r>
        <w:rPr>
          <w:rFonts w:asciiTheme="majorHAnsi" w:hAnsiTheme="majorHAnsi"/>
        </w:rPr>
        <w:t>34% this year and next) while search remains robust (+15.6%</w:t>
      </w:r>
      <w:r w:rsidR="00BC6CEC">
        <w:rPr>
          <w:rFonts w:asciiTheme="majorHAnsi" w:hAnsiTheme="majorHAnsi"/>
        </w:rPr>
        <w:t xml:space="preserve"> this year</w:t>
      </w:r>
      <w:r>
        <w:rPr>
          <w:rFonts w:asciiTheme="majorHAnsi" w:hAnsiTheme="majorHAnsi"/>
        </w:rPr>
        <w:t>, +14.3%</w:t>
      </w:r>
      <w:r w:rsidR="00BC6CEC">
        <w:rPr>
          <w:rFonts w:asciiTheme="majorHAnsi" w:hAnsiTheme="majorHAnsi"/>
        </w:rPr>
        <w:t xml:space="preserve"> next year</w:t>
      </w:r>
      <w:r>
        <w:rPr>
          <w:rFonts w:asciiTheme="majorHAnsi" w:hAnsiTheme="majorHAnsi"/>
        </w:rPr>
        <w:t>) and banner display is barely growing (+5% this year, +4% next year) and actually shrinking in many markets.</w:t>
      </w:r>
      <w:r w:rsidR="00161FDD">
        <w:rPr>
          <w:rFonts w:asciiTheme="majorHAnsi" w:hAnsiTheme="majorHAnsi"/>
        </w:rPr>
        <w:t xml:space="preserve"> </w:t>
      </w:r>
      <w:r w:rsidR="00207C6B" w:rsidRPr="00161FDD">
        <w:rPr>
          <w:rFonts w:asciiTheme="majorHAnsi" w:hAnsiTheme="majorHAnsi"/>
          <w:b/>
        </w:rPr>
        <w:t>Paid Search remains the #1 digit</w:t>
      </w:r>
      <w:r w:rsidR="006D0F8F" w:rsidRPr="00161FDD">
        <w:rPr>
          <w:rFonts w:asciiTheme="majorHAnsi" w:hAnsiTheme="majorHAnsi"/>
          <w:b/>
        </w:rPr>
        <w:t xml:space="preserve">al advertising </w:t>
      </w:r>
      <w:proofErr w:type="gramStart"/>
      <w:r w:rsidR="006D0F8F" w:rsidRPr="00161FDD">
        <w:rPr>
          <w:rFonts w:asciiTheme="majorHAnsi" w:hAnsiTheme="majorHAnsi"/>
          <w:b/>
        </w:rPr>
        <w:t>format</w:t>
      </w:r>
      <w:proofErr w:type="gramEnd"/>
      <w:r w:rsidR="006D0F8F">
        <w:rPr>
          <w:rFonts w:asciiTheme="majorHAnsi" w:hAnsiTheme="majorHAnsi"/>
        </w:rPr>
        <w:t>, with 49</w:t>
      </w:r>
      <w:r w:rsidR="00207C6B">
        <w:rPr>
          <w:rFonts w:asciiTheme="majorHAnsi" w:hAnsiTheme="majorHAnsi"/>
        </w:rPr>
        <w:t>% of global dollars</w:t>
      </w:r>
      <w:r w:rsidR="006D0F8F">
        <w:rPr>
          <w:rFonts w:asciiTheme="majorHAnsi" w:hAnsiTheme="majorHAnsi"/>
        </w:rPr>
        <w:t xml:space="preserve">, </w:t>
      </w:r>
      <w:r w:rsidR="00BC6CEC">
        <w:rPr>
          <w:rFonts w:asciiTheme="majorHAnsi" w:hAnsiTheme="majorHAnsi"/>
        </w:rPr>
        <w:t>followed</w:t>
      </w:r>
      <w:r w:rsidR="006D0F8F">
        <w:rPr>
          <w:rFonts w:asciiTheme="majorHAnsi" w:hAnsiTheme="majorHAnsi"/>
        </w:rPr>
        <w:t xml:space="preserve"> by display (21%), social (12%) and video (8%).</w:t>
      </w:r>
    </w:p>
    <w:p w:rsidR="00207C6B" w:rsidRPr="00A87E72" w:rsidRDefault="00207C6B" w:rsidP="00976CC6">
      <w:pPr>
        <w:spacing w:before="0"/>
        <w:rPr>
          <w:rFonts w:asciiTheme="majorHAnsi" w:hAnsiTheme="majorHAnsi"/>
        </w:rPr>
      </w:pPr>
      <w:r>
        <w:rPr>
          <w:rFonts w:asciiTheme="majorHAnsi" w:hAnsiTheme="majorHAnsi"/>
        </w:rPr>
        <w:t xml:space="preserve">Digital spend is also </w:t>
      </w:r>
      <w:r w:rsidRPr="00161FDD">
        <w:rPr>
          <w:rFonts w:asciiTheme="majorHAnsi" w:hAnsiTheme="majorHAnsi"/>
          <w:b/>
        </w:rPr>
        <w:t>migrating towards mobile devices</w:t>
      </w:r>
      <w:r>
        <w:rPr>
          <w:rFonts w:asciiTheme="majorHAnsi" w:hAnsiTheme="majorHAnsi"/>
        </w:rPr>
        <w:t xml:space="preserve"> at an accelerated pace. Mobile-centric impressions (on tablets and smartphones) generated </w:t>
      </w:r>
      <w:r w:rsidRPr="00161FDD">
        <w:rPr>
          <w:rFonts w:asciiTheme="majorHAnsi" w:hAnsiTheme="majorHAnsi"/>
          <w:b/>
        </w:rPr>
        <w:t>21% of global digital dollars</w:t>
      </w:r>
      <w:r>
        <w:rPr>
          <w:rFonts w:asciiTheme="majorHAnsi" w:hAnsiTheme="majorHAnsi"/>
        </w:rPr>
        <w:t xml:space="preserve"> this year (nearly $30bn) up from 14% last year.  Mobile advertising grew by </w:t>
      </w:r>
      <w:r w:rsidR="00BC6CEC">
        <w:rPr>
          <w:rFonts w:asciiTheme="majorHAnsi" w:hAnsiTheme="majorHAnsi"/>
        </w:rPr>
        <w:t>+</w:t>
      </w:r>
      <w:r>
        <w:rPr>
          <w:rFonts w:asciiTheme="majorHAnsi" w:hAnsiTheme="majorHAnsi"/>
        </w:rPr>
        <w:t xml:space="preserve">72% and we expect it to increase by 45% again in 2015. The mobile share of digital impressions and dollars varies greatly by format, with social being at the forefront (60% of total spend) and video lagging behind due to </w:t>
      </w:r>
      <w:r>
        <w:rPr>
          <w:rFonts w:asciiTheme="majorHAnsi" w:hAnsiTheme="majorHAnsi"/>
        </w:rPr>
        <w:lastRenderedPageBreak/>
        <w:t xml:space="preserve">bandwidth and content limitation in many markets but the trend is similar on all formats. Driven by penetration and improvement in measurement, mobile will continue to grow to represent </w:t>
      </w:r>
      <w:r w:rsidR="00BC6CEC">
        <w:rPr>
          <w:rFonts w:asciiTheme="majorHAnsi" w:hAnsiTheme="majorHAnsi"/>
        </w:rPr>
        <w:t>one</w:t>
      </w:r>
      <w:r>
        <w:rPr>
          <w:rFonts w:asciiTheme="majorHAnsi" w:hAnsiTheme="majorHAnsi"/>
        </w:rPr>
        <w:t xml:space="preserve"> third of total digital revenues by 2016.</w:t>
      </w:r>
    </w:p>
    <w:p w:rsidR="00A87E72" w:rsidRPr="00605CC7" w:rsidRDefault="00B21489" w:rsidP="009A1FAE">
      <w:pPr>
        <w:rPr>
          <w:rFonts w:asciiTheme="majorHAnsi" w:hAnsiTheme="majorHAnsi"/>
        </w:rPr>
      </w:pPr>
      <w:r w:rsidRPr="00605CC7">
        <w:rPr>
          <w:rFonts w:asciiTheme="majorHAnsi" w:hAnsiTheme="majorHAnsi"/>
        </w:rPr>
        <w:t xml:space="preserve">As mentioned earlier in the US context, we believe that one big driver in 2014 lied in </w:t>
      </w:r>
      <w:r w:rsidR="00BC6CEC">
        <w:rPr>
          <w:rFonts w:asciiTheme="majorHAnsi" w:hAnsiTheme="majorHAnsi"/>
        </w:rPr>
        <w:t>previously-</w:t>
      </w:r>
      <w:r w:rsidRPr="00605CC7">
        <w:rPr>
          <w:rFonts w:asciiTheme="majorHAnsi" w:hAnsiTheme="majorHAnsi"/>
        </w:rPr>
        <w:t>lagging spending categories (typically: FMCG/CPG) finally embracing d</w:t>
      </w:r>
      <w:r w:rsidR="00C001C7">
        <w:rPr>
          <w:rFonts w:asciiTheme="majorHAnsi" w:hAnsiTheme="majorHAnsi"/>
        </w:rPr>
        <w:t>igital formats on a large scale. L</w:t>
      </w:r>
      <w:r w:rsidR="00C001C7" w:rsidRPr="00605CC7">
        <w:rPr>
          <w:rFonts w:asciiTheme="majorHAnsi" w:hAnsiTheme="majorHAnsi"/>
        </w:rPr>
        <w:t xml:space="preserve">arge mainstream brands </w:t>
      </w:r>
      <w:r w:rsidR="00C001C7">
        <w:rPr>
          <w:rFonts w:asciiTheme="majorHAnsi" w:hAnsiTheme="majorHAnsi"/>
        </w:rPr>
        <w:t>started</w:t>
      </w:r>
      <w:r w:rsidRPr="00605CC7">
        <w:rPr>
          <w:rFonts w:asciiTheme="majorHAnsi" w:hAnsiTheme="majorHAnsi"/>
        </w:rPr>
        <w:t xml:space="preserve"> to divert sizable budgets from tradi</w:t>
      </w:r>
      <w:r w:rsidR="00C001C7">
        <w:rPr>
          <w:rFonts w:asciiTheme="majorHAnsi" w:hAnsiTheme="majorHAnsi"/>
        </w:rPr>
        <w:t>tional media (as opposed to fue</w:t>
      </w:r>
      <w:r w:rsidRPr="00605CC7">
        <w:rPr>
          <w:rFonts w:asciiTheme="majorHAnsi" w:hAnsiTheme="majorHAnsi"/>
        </w:rPr>
        <w:t>ling digital marketing through small experimental budgets)</w:t>
      </w:r>
      <w:r w:rsidR="00C001C7">
        <w:rPr>
          <w:rFonts w:asciiTheme="majorHAnsi" w:hAnsiTheme="majorHAnsi"/>
        </w:rPr>
        <w:t xml:space="preserve"> to invest in </w:t>
      </w:r>
      <w:r w:rsidR="00C001C7" w:rsidRPr="00C001C7">
        <w:rPr>
          <w:rFonts w:asciiTheme="majorHAnsi" w:hAnsiTheme="majorHAnsi"/>
          <w:i/>
        </w:rPr>
        <w:t>all</w:t>
      </w:r>
      <w:r w:rsidR="00C001C7">
        <w:rPr>
          <w:rFonts w:asciiTheme="majorHAnsi" w:hAnsiTheme="majorHAnsi"/>
        </w:rPr>
        <w:t xml:space="preserve"> digital formats, and not just the safe option of premium display</w:t>
      </w:r>
      <w:r w:rsidRPr="00605CC7">
        <w:rPr>
          <w:rFonts w:asciiTheme="majorHAnsi" w:hAnsiTheme="majorHAnsi"/>
        </w:rPr>
        <w:t xml:space="preserve">. The reason why previously reluctant advertisers have finally passed the exploration phase is the availability of new tools allowing marketers and agencies to manage and monitor digital </w:t>
      </w:r>
      <w:r w:rsidR="004642E8" w:rsidRPr="00605CC7">
        <w:rPr>
          <w:rFonts w:asciiTheme="majorHAnsi" w:hAnsiTheme="majorHAnsi"/>
        </w:rPr>
        <w:t>spending</w:t>
      </w:r>
      <w:r w:rsidRPr="00605CC7">
        <w:rPr>
          <w:rFonts w:asciiTheme="majorHAnsi" w:hAnsiTheme="majorHAnsi"/>
        </w:rPr>
        <w:t xml:space="preserve"> in a more precise, transparent and effective way</w:t>
      </w:r>
      <w:r w:rsidR="00C001C7">
        <w:rPr>
          <w:rFonts w:asciiTheme="majorHAnsi" w:hAnsiTheme="majorHAnsi"/>
        </w:rPr>
        <w:t>s</w:t>
      </w:r>
      <w:r w:rsidRPr="00605CC7">
        <w:rPr>
          <w:rFonts w:asciiTheme="majorHAnsi" w:hAnsiTheme="majorHAnsi"/>
        </w:rPr>
        <w:t xml:space="preserve"> than two years ago. </w:t>
      </w:r>
      <w:r w:rsidR="004642E8" w:rsidRPr="00605CC7">
        <w:rPr>
          <w:rFonts w:asciiTheme="majorHAnsi" w:hAnsiTheme="majorHAnsi"/>
        </w:rPr>
        <w:t xml:space="preserve">Large brands and retailers also have new opportunities to leverage user data and client data to make digital dollars work harder and better. </w:t>
      </w:r>
      <w:r w:rsidRPr="00605CC7">
        <w:rPr>
          <w:rFonts w:asciiTheme="majorHAnsi" w:hAnsiTheme="majorHAnsi"/>
        </w:rPr>
        <w:t>Digital media are thus increasingly used to complement traditional media plans in the context of branding campaigns, not just</w:t>
      </w:r>
      <w:r w:rsidR="004642E8" w:rsidRPr="00605CC7">
        <w:rPr>
          <w:rFonts w:asciiTheme="majorHAnsi" w:hAnsiTheme="majorHAnsi"/>
        </w:rPr>
        <w:t xml:space="preserve"> direct response. This is exemplified by the increase in the share of digital dollars sold on a CPM or impression basis, as opposed to clicks or performance (34% in the first six months of 2014 according to the IAB, compared to 31% three years ago).</w:t>
      </w:r>
    </w:p>
    <w:p w:rsidR="004642E8" w:rsidRPr="00D270B7" w:rsidRDefault="00605CC7" w:rsidP="00D270B7">
      <w:pPr>
        <w:spacing w:before="0"/>
        <w:rPr>
          <w:color w:val="FF0000"/>
          <w:sz w:val="20"/>
        </w:rPr>
      </w:pPr>
      <w:r w:rsidRPr="00300FB0">
        <w:rPr>
          <w:rFonts w:asciiTheme="majorHAnsi" w:hAnsiTheme="majorHAnsi"/>
        </w:rPr>
        <w:t xml:space="preserve">Digital media buying is also being revolutionized by </w:t>
      </w:r>
      <w:r w:rsidRPr="00300FB0">
        <w:rPr>
          <w:rFonts w:asciiTheme="majorHAnsi" w:hAnsiTheme="majorHAnsi"/>
          <w:b/>
        </w:rPr>
        <w:t xml:space="preserve">programmatic </w:t>
      </w:r>
      <w:r w:rsidR="00D270B7" w:rsidRPr="00300FB0">
        <w:rPr>
          <w:rFonts w:asciiTheme="majorHAnsi" w:hAnsiTheme="majorHAnsi"/>
          <w:b/>
        </w:rPr>
        <w:t>trading</w:t>
      </w:r>
      <w:r w:rsidRPr="00300FB0">
        <w:rPr>
          <w:rFonts w:asciiTheme="majorHAnsi" w:hAnsiTheme="majorHAnsi"/>
        </w:rPr>
        <w:t xml:space="preserve"> technologies. Digital media inventory transacted through programmatic methods </w:t>
      </w:r>
      <w:r w:rsidR="00D270B7" w:rsidRPr="00300FB0">
        <w:rPr>
          <w:rFonts w:asciiTheme="majorHAnsi" w:hAnsiTheme="majorHAnsi"/>
        </w:rPr>
        <w:t>–</w:t>
      </w:r>
      <w:r w:rsidRPr="00300FB0">
        <w:rPr>
          <w:rFonts w:asciiTheme="majorHAnsi" w:hAnsiTheme="majorHAnsi"/>
        </w:rPr>
        <w:t xml:space="preserve"> </w:t>
      </w:r>
      <w:r w:rsidR="00D270B7" w:rsidRPr="00300FB0">
        <w:rPr>
          <w:rFonts w:asciiTheme="majorHAnsi" w:hAnsiTheme="majorHAnsi"/>
        </w:rPr>
        <w:t xml:space="preserve">data-based automated transactions </w:t>
      </w:r>
      <w:r w:rsidRPr="00300FB0">
        <w:rPr>
          <w:rFonts w:asciiTheme="majorHAnsi" w:hAnsiTheme="majorHAnsi"/>
        </w:rPr>
        <w:t>including</w:t>
      </w:r>
      <w:r w:rsidR="00D270B7" w:rsidRPr="00300FB0">
        <w:rPr>
          <w:rFonts w:asciiTheme="majorHAnsi" w:hAnsiTheme="majorHAnsi"/>
        </w:rPr>
        <w:t>,</w:t>
      </w:r>
      <w:r w:rsidRPr="00300FB0">
        <w:rPr>
          <w:rFonts w:asciiTheme="majorHAnsi" w:hAnsiTheme="majorHAnsi"/>
        </w:rPr>
        <w:t xml:space="preserve"> but not restricted to</w:t>
      </w:r>
      <w:r w:rsidR="00D270B7" w:rsidRPr="00300FB0">
        <w:rPr>
          <w:rFonts w:asciiTheme="majorHAnsi" w:hAnsiTheme="majorHAnsi"/>
        </w:rPr>
        <w:t>,</w:t>
      </w:r>
      <w:r w:rsidRPr="00300FB0">
        <w:rPr>
          <w:rFonts w:asciiTheme="majorHAnsi" w:hAnsiTheme="majorHAnsi"/>
        </w:rPr>
        <w:t xml:space="preserve"> Real-Time Bidding (RTB) - reached $21 billion globally this year (+52%).</w:t>
      </w:r>
      <w:r w:rsidR="00D270B7" w:rsidRPr="00300FB0">
        <w:rPr>
          <w:rFonts w:asciiTheme="majorHAnsi" w:hAnsiTheme="majorHAnsi"/>
        </w:rPr>
        <w:t xml:space="preserve"> </w:t>
      </w:r>
      <w:r w:rsidRPr="00300FB0">
        <w:rPr>
          <w:rFonts w:asciiTheme="majorHAnsi" w:hAnsiTheme="majorHAnsi"/>
        </w:rPr>
        <w:t xml:space="preserve">Globally, programmatic spend </w:t>
      </w:r>
      <w:r w:rsidR="00D270B7" w:rsidRPr="00300FB0">
        <w:rPr>
          <w:rFonts w:asciiTheme="majorHAnsi" w:hAnsiTheme="majorHAnsi"/>
        </w:rPr>
        <w:t>gre</w:t>
      </w:r>
      <w:r w:rsidRPr="00300FB0">
        <w:rPr>
          <w:rFonts w:asciiTheme="majorHAnsi" w:hAnsiTheme="majorHAnsi"/>
        </w:rPr>
        <w:t xml:space="preserve">w to 42% of total display-related </w:t>
      </w:r>
      <w:r w:rsidR="00D270B7" w:rsidRPr="00300FB0">
        <w:rPr>
          <w:rFonts w:asciiTheme="majorHAnsi" w:hAnsiTheme="majorHAnsi"/>
        </w:rPr>
        <w:t xml:space="preserve">(banners, social, video) </w:t>
      </w:r>
      <w:r w:rsidRPr="00300FB0">
        <w:rPr>
          <w:rFonts w:asciiTheme="majorHAnsi" w:hAnsiTheme="majorHAnsi"/>
        </w:rPr>
        <w:t>spend</w:t>
      </w:r>
      <w:r w:rsidR="00D270B7" w:rsidRPr="00300FB0">
        <w:rPr>
          <w:rFonts w:asciiTheme="majorHAnsi" w:hAnsiTheme="majorHAnsi"/>
        </w:rPr>
        <w:t xml:space="preserve"> this year</w:t>
      </w:r>
      <w:r w:rsidRPr="00300FB0">
        <w:rPr>
          <w:rFonts w:asciiTheme="majorHAnsi" w:hAnsiTheme="majorHAnsi"/>
        </w:rPr>
        <w:t>, compared to 33% last year</w:t>
      </w:r>
      <w:r w:rsidR="00D270B7" w:rsidRPr="00300FB0">
        <w:rPr>
          <w:rFonts w:asciiTheme="majorHAnsi" w:hAnsiTheme="majorHAnsi"/>
        </w:rPr>
        <w:t>.</w:t>
      </w:r>
      <w:r w:rsidRPr="00300FB0">
        <w:rPr>
          <w:rFonts w:asciiTheme="majorHAnsi" w:hAnsiTheme="majorHAnsi"/>
        </w:rPr>
        <w:t xml:space="preserve"> </w:t>
      </w:r>
      <w:r w:rsidR="00D270B7" w:rsidRPr="00300FB0">
        <w:rPr>
          <w:rFonts w:asciiTheme="majorHAnsi" w:hAnsiTheme="majorHAnsi"/>
        </w:rPr>
        <w:t xml:space="preserve">Programmatic techniques may have a deflationary effect on the digital media space as the so-called “remnant” inventory </w:t>
      </w:r>
      <w:r w:rsidR="00C001C7">
        <w:rPr>
          <w:rFonts w:asciiTheme="majorHAnsi" w:hAnsiTheme="majorHAnsi"/>
        </w:rPr>
        <w:t>can be</w:t>
      </w:r>
      <w:r w:rsidR="00D270B7" w:rsidRPr="00300FB0">
        <w:rPr>
          <w:rFonts w:asciiTheme="majorHAnsi" w:hAnsiTheme="majorHAnsi"/>
        </w:rPr>
        <w:t xml:space="preserve"> traded at lower costs</w:t>
      </w:r>
      <w:r w:rsidR="00C001C7">
        <w:rPr>
          <w:rFonts w:asciiTheme="majorHAnsi" w:hAnsiTheme="majorHAnsi"/>
        </w:rPr>
        <w:t xml:space="preserve"> per thousand impressions</w:t>
      </w:r>
      <w:r w:rsidR="00D270B7" w:rsidRPr="00300FB0">
        <w:rPr>
          <w:rFonts w:asciiTheme="majorHAnsi" w:hAnsiTheme="majorHAnsi"/>
        </w:rPr>
        <w:t xml:space="preserve"> but</w:t>
      </w:r>
      <w:r w:rsidR="00C001C7">
        <w:rPr>
          <w:rFonts w:asciiTheme="majorHAnsi" w:hAnsiTheme="majorHAnsi"/>
        </w:rPr>
        <w:t>,</w:t>
      </w:r>
      <w:r w:rsidR="00D270B7" w:rsidRPr="00300FB0">
        <w:rPr>
          <w:rFonts w:asciiTheme="majorHAnsi" w:hAnsiTheme="majorHAnsi"/>
        </w:rPr>
        <w:t xml:space="preserve"> </w:t>
      </w:r>
      <w:r w:rsidR="00C001C7">
        <w:rPr>
          <w:rFonts w:asciiTheme="majorHAnsi" w:hAnsiTheme="majorHAnsi"/>
        </w:rPr>
        <w:t xml:space="preserve">on the other hand, </w:t>
      </w:r>
      <w:r w:rsidR="00D270B7" w:rsidRPr="00C001C7">
        <w:rPr>
          <w:rFonts w:asciiTheme="majorHAnsi" w:hAnsiTheme="majorHAnsi"/>
          <w:i/>
        </w:rPr>
        <w:t>more</w:t>
      </w:r>
      <w:r w:rsidR="00D270B7" w:rsidRPr="00300FB0">
        <w:rPr>
          <w:rFonts w:asciiTheme="majorHAnsi" w:hAnsiTheme="majorHAnsi"/>
        </w:rPr>
        <w:t xml:space="preserve"> of that </w:t>
      </w:r>
      <w:r w:rsidR="00C001C7">
        <w:rPr>
          <w:rFonts w:asciiTheme="majorHAnsi" w:hAnsiTheme="majorHAnsi"/>
        </w:rPr>
        <w:t xml:space="preserve">low-demand inventory </w:t>
      </w:r>
      <w:r w:rsidR="00D270B7" w:rsidRPr="00300FB0">
        <w:rPr>
          <w:rFonts w:asciiTheme="majorHAnsi" w:hAnsiTheme="majorHAnsi"/>
        </w:rPr>
        <w:t xml:space="preserve">can be monetized today at scalable transactional costs. Perhaps more importantly, the new opportunities created by programmatic buying have contributed to make digital media more attractive to large advertisers blessed with large client databases and interested in the multiple targeting tactics accessible through programmatic </w:t>
      </w:r>
      <w:r w:rsidR="00D270B7" w:rsidRPr="00C001C7">
        <w:rPr>
          <w:rFonts w:asciiTheme="majorHAnsi" w:hAnsiTheme="majorHAnsi"/>
        </w:rPr>
        <w:t>platforms</w:t>
      </w:r>
      <w:r w:rsidR="00C001C7" w:rsidRPr="00C001C7">
        <w:rPr>
          <w:sz w:val="20"/>
        </w:rPr>
        <w:t>.</w:t>
      </w:r>
    </w:p>
    <w:p w:rsidR="00C001C7" w:rsidRDefault="00C001C7" w:rsidP="009A1FAE">
      <w:pPr>
        <w:rPr>
          <w:rFonts w:asciiTheme="majorHAnsi" w:hAnsiTheme="majorHAnsi"/>
        </w:rPr>
      </w:pPr>
      <w:r>
        <w:rPr>
          <w:rFonts w:asciiTheme="majorHAnsi" w:hAnsiTheme="majorHAnsi"/>
        </w:rPr>
        <w:t>T</w:t>
      </w:r>
      <w:r w:rsidR="009A1FAE" w:rsidRPr="00161FDD">
        <w:rPr>
          <w:rFonts w:asciiTheme="majorHAnsi" w:hAnsiTheme="majorHAnsi"/>
        </w:rPr>
        <w:t xml:space="preserve">he </w:t>
      </w:r>
      <w:r w:rsidR="006D0F8F" w:rsidRPr="00161FDD">
        <w:rPr>
          <w:rFonts w:asciiTheme="majorHAnsi" w:hAnsiTheme="majorHAnsi"/>
        </w:rPr>
        <w:t>rise of</w:t>
      </w:r>
      <w:r w:rsidR="009A1FAE" w:rsidRPr="00161FDD">
        <w:rPr>
          <w:rFonts w:asciiTheme="majorHAnsi" w:hAnsiTheme="majorHAnsi"/>
        </w:rPr>
        <w:t xml:space="preserve"> digital </w:t>
      </w:r>
      <w:r w:rsidR="006D0F8F" w:rsidRPr="00161FDD">
        <w:rPr>
          <w:rFonts w:asciiTheme="majorHAnsi" w:hAnsiTheme="majorHAnsi"/>
        </w:rPr>
        <w:t xml:space="preserve">has a dual effect on the </w:t>
      </w:r>
      <w:r w:rsidR="00161FDD" w:rsidRPr="00161FDD">
        <w:rPr>
          <w:rFonts w:asciiTheme="majorHAnsi" w:hAnsiTheme="majorHAnsi"/>
        </w:rPr>
        <w:t xml:space="preserve">total </w:t>
      </w:r>
      <w:r w:rsidR="006D0F8F" w:rsidRPr="00161FDD">
        <w:rPr>
          <w:rFonts w:asciiTheme="majorHAnsi" w:hAnsiTheme="majorHAnsi"/>
        </w:rPr>
        <w:t xml:space="preserve">size </w:t>
      </w:r>
      <w:r>
        <w:rPr>
          <w:rFonts w:asciiTheme="majorHAnsi" w:hAnsiTheme="majorHAnsi"/>
        </w:rPr>
        <w:t xml:space="preserve">and growth rate </w:t>
      </w:r>
      <w:r w:rsidR="006D0F8F" w:rsidRPr="00161FDD">
        <w:rPr>
          <w:rFonts w:asciiTheme="majorHAnsi" w:hAnsiTheme="majorHAnsi"/>
        </w:rPr>
        <w:t>of the</w:t>
      </w:r>
      <w:r>
        <w:rPr>
          <w:rFonts w:asciiTheme="majorHAnsi" w:hAnsiTheme="majorHAnsi"/>
        </w:rPr>
        <w:t xml:space="preserve"> overall</w:t>
      </w:r>
      <w:r w:rsidR="006D0F8F" w:rsidRPr="00161FDD">
        <w:rPr>
          <w:rFonts w:asciiTheme="majorHAnsi" w:hAnsiTheme="majorHAnsi"/>
        </w:rPr>
        <w:t xml:space="preserve"> advertising market.</w:t>
      </w:r>
    </w:p>
    <w:p w:rsidR="006D0F8F" w:rsidRPr="00161FDD" w:rsidRDefault="006D0F8F" w:rsidP="009A1FAE">
      <w:pPr>
        <w:rPr>
          <w:rFonts w:asciiTheme="majorHAnsi" w:hAnsiTheme="majorHAnsi"/>
        </w:rPr>
      </w:pPr>
      <w:r w:rsidRPr="00161FDD">
        <w:rPr>
          <w:rFonts w:asciiTheme="majorHAnsi" w:hAnsiTheme="majorHAnsi"/>
        </w:rPr>
        <w:t>On one hand</w:t>
      </w:r>
      <w:r w:rsidR="00C001C7">
        <w:rPr>
          <w:rFonts w:asciiTheme="majorHAnsi" w:hAnsiTheme="majorHAnsi"/>
        </w:rPr>
        <w:t>,</w:t>
      </w:r>
      <w:r w:rsidRPr="00161FDD">
        <w:rPr>
          <w:rFonts w:asciiTheme="majorHAnsi" w:hAnsiTheme="majorHAnsi"/>
        </w:rPr>
        <w:t xml:space="preserve"> digital media are expanding the “media” pie by attracting budgets previously spent with below-the-line mechanisms (direct mail, directories</w:t>
      </w:r>
      <w:r w:rsidR="00C001C7">
        <w:rPr>
          <w:rFonts w:asciiTheme="majorHAnsi" w:hAnsiTheme="majorHAnsi"/>
        </w:rPr>
        <w:t>, in-store</w:t>
      </w:r>
      <w:r w:rsidRPr="00161FDD">
        <w:rPr>
          <w:rFonts w:asciiTheme="majorHAnsi" w:hAnsiTheme="majorHAnsi"/>
        </w:rPr>
        <w:t xml:space="preserve"> etc.) and by “long tail” small and local businesses (some of whom were perhaps not spending anything in marketing). This is clearly a source of growth for search and social in particular.</w:t>
      </w:r>
    </w:p>
    <w:p w:rsidR="009A1FAE" w:rsidRPr="00161FDD" w:rsidRDefault="006D0F8F" w:rsidP="009A1FAE">
      <w:pPr>
        <w:rPr>
          <w:rFonts w:asciiTheme="majorHAnsi" w:hAnsiTheme="majorHAnsi"/>
        </w:rPr>
      </w:pPr>
      <w:r w:rsidRPr="00161FDD">
        <w:rPr>
          <w:rFonts w:asciiTheme="majorHAnsi" w:hAnsiTheme="majorHAnsi"/>
        </w:rPr>
        <w:t xml:space="preserve">On the other hand, the budgets shifted from traditional media (TV, print, radio, OOH) to digital media create a deflationary environment, reducing the media pie and slowing </w:t>
      </w:r>
      <w:r w:rsidR="009A1FAE" w:rsidRPr="00161FDD">
        <w:rPr>
          <w:rFonts w:asciiTheme="majorHAnsi" w:hAnsiTheme="majorHAnsi"/>
        </w:rPr>
        <w:t xml:space="preserve">down </w:t>
      </w:r>
      <w:r w:rsidRPr="00161FDD">
        <w:rPr>
          <w:rFonts w:asciiTheme="majorHAnsi" w:hAnsiTheme="majorHAnsi"/>
        </w:rPr>
        <w:t>ad spend growth prospect</w:t>
      </w:r>
      <w:r w:rsidR="00C001C7">
        <w:rPr>
          <w:rFonts w:asciiTheme="majorHAnsi" w:hAnsiTheme="majorHAnsi"/>
        </w:rPr>
        <w:t>s</w:t>
      </w:r>
      <w:r w:rsidRPr="00161FDD">
        <w:rPr>
          <w:rFonts w:asciiTheme="majorHAnsi" w:hAnsiTheme="majorHAnsi"/>
        </w:rPr>
        <w:t xml:space="preserve"> in the mid and long term. </w:t>
      </w:r>
      <w:r w:rsidR="00B21489" w:rsidRPr="00161FDD">
        <w:rPr>
          <w:rFonts w:asciiTheme="majorHAnsi" w:hAnsiTheme="majorHAnsi"/>
        </w:rPr>
        <w:t>We refer to this as the</w:t>
      </w:r>
      <w:r w:rsidRPr="00161FDD">
        <w:rPr>
          <w:rFonts w:asciiTheme="majorHAnsi" w:hAnsiTheme="majorHAnsi"/>
        </w:rPr>
        <w:t xml:space="preserve"> </w:t>
      </w:r>
      <w:r w:rsidR="009A1FAE" w:rsidRPr="00161FDD">
        <w:rPr>
          <w:rFonts w:asciiTheme="majorHAnsi" w:hAnsiTheme="majorHAnsi"/>
        </w:rPr>
        <w:t>“</w:t>
      </w:r>
      <w:r w:rsidRPr="00161FDD">
        <w:rPr>
          <w:rFonts w:asciiTheme="majorHAnsi" w:hAnsiTheme="majorHAnsi"/>
        </w:rPr>
        <w:t>d</w:t>
      </w:r>
      <w:r w:rsidR="009A1FAE" w:rsidRPr="00161FDD">
        <w:rPr>
          <w:rFonts w:asciiTheme="majorHAnsi" w:hAnsiTheme="majorHAnsi"/>
        </w:rPr>
        <w:t>igital deflation” phenomenon: when a dollar is shifted from traditional to digital media it’s no longer a dollar but 95 cents or less</w:t>
      </w:r>
      <w:r w:rsidR="00B21489" w:rsidRPr="00161FDD">
        <w:rPr>
          <w:rFonts w:asciiTheme="majorHAnsi" w:hAnsiTheme="majorHAnsi"/>
        </w:rPr>
        <w:t>,</w:t>
      </w:r>
      <w:r w:rsidR="009A1FAE" w:rsidRPr="00161FDD">
        <w:rPr>
          <w:rFonts w:asciiTheme="majorHAnsi" w:hAnsiTheme="majorHAnsi"/>
        </w:rPr>
        <w:t xml:space="preserve"> </w:t>
      </w:r>
      <w:r w:rsidR="009A1FAE" w:rsidRPr="00161FDD">
        <w:rPr>
          <w:rFonts w:asciiTheme="majorHAnsi" w:hAnsiTheme="majorHAnsi"/>
        </w:rPr>
        <w:lastRenderedPageBreak/>
        <w:t>simply because of the productivity gains</w:t>
      </w:r>
      <w:r w:rsidR="00B21489" w:rsidRPr="00161FDD">
        <w:rPr>
          <w:rFonts w:asciiTheme="majorHAnsi" w:hAnsiTheme="majorHAnsi"/>
        </w:rPr>
        <w:t xml:space="preserve"> created by digital and</w:t>
      </w:r>
      <w:r w:rsidR="009A1FAE" w:rsidRPr="00161FDD">
        <w:rPr>
          <w:rFonts w:asciiTheme="majorHAnsi" w:hAnsiTheme="majorHAnsi"/>
        </w:rPr>
        <w:t xml:space="preserve"> the lo</w:t>
      </w:r>
      <w:r w:rsidR="00B21489" w:rsidRPr="00161FDD">
        <w:rPr>
          <w:rFonts w:asciiTheme="majorHAnsi" w:hAnsiTheme="majorHAnsi"/>
        </w:rPr>
        <w:t>west cost apparently required to achieve a given marketing goal</w:t>
      </w:r>
      <w:r w:rsidR="009A1FAE" w:rsidRPr="00161FDD">
        <w:rPr>
          <w:rFonts w:asciiTheme="majorHAnsi" w:hAnsiTheme="majorHAnsi"/>
        </w:rPr>
        <w:t xml:space="preserve">. When shifting budgets towards digital, advertisers are not just following </w:t>
      </w:r>
      <w:r w:rsidR="00B21489" w:rsidRPr="00161FDD">
        <w:rPr>
          <w:rFonts w:asciiTheme="majorHAnsi" w:hAnsiTheme="majorHAnsi"/>
        </w:rPr>
        <w:t>users and “</w:t>
      </w:r>
      <w:r w:rsidR="009A1FAE" w:rsidRPr="00161FDD">
        <w:rPr>
          <w:rFonts w:asciiTheme="majorHAnsi" w:hAnsiTheme="majorHAnsi"/>
        </w:rPr>
        <w:t>eyeballs</w:t>
      </w:r>
      <w:r w:rsidR="00B21489" w:rsidRPr="00161FDD">
        <w:rPr>
          <w:rFonts w:asciiTheme="majorHAnsi" w:hAnsiTheme="majorHAnsi"/>
        </w:rPr>
        <w:t>”</w:t>
      </w:r>
      <w:r w:rsidR="009A1FAE" w:rsidRPr="00161FDD">
        <w:rPr>
          <w:rFonts w:asciiTheme="majorHAnsi" w:hAnsiTheme="majorHAnsi"/>
        </w:rPr>
        <w:t xml:space="preserve"> but </w:t>
      </w:r>
      <w:r w:rsidR="00B21489" w:rsidRPr="00161FDD">
        <w:rPr>
          <w:rFonts w:asciiTheme="majorHAnsi" w:hAnsiTheme="majorHAnsi"/>
        </w:rPr>
        <w:t xml:space="preserve">also </w:t>
      </w:r>
      <w:r w:rsidR="009A1FAE" w:rsidRPr="00161FDD">
        <w:rPr>
          <w:rFonts w:asciiTheme="majorHAnsi" w:hAnsiTheme="majorHAnsi"/>
        </w:rPr>
        <w:t>expecting to save on their overall advertising and marketing spend. A</w:t>
      </w:r>
      <w:r w:rsidR="00B21489" w:rsidRPr="00161FDD">
        <w:rPr>
          <w:rFonts w:asciiTheme="majorHAnsi" w:hAnsiTheme="majorHAnsi"/>
        </w:rPr>
        <w:t>ny superior return on i</w:t>
      </w:r>
      <w:r w:rsidR="009A1FAE" w:rsidRPr="00161FDD">
        <w:rPr>
          <w:rFonts w:asciiTheme="majorHAnsi" w:hAnsiTheme="majorHAnsi"/>
        </w:rPr>
        <w:t xml:space="preserve">nvestment translates into optimization rather than increasing the investment. This trend has been at work for a few years but as digital media reaches critical mass, each market share point gained by digital has an increasingly big impact on traditional media. For instance in 2014, </w:t>
      </w:r>
      <w:r w:rsidR="00C001C7">
        <w:rPr>
          <w:rFonts w:asciiTheme="majorHAnsi" w:hAnsiTheme="majorHAnsi"/>
        </w:rPr>
        <w:t>$7bn</w:t>
      </w:r>
      <w:r w:rsidR="009A1FAE" w:rsidRPr="00161FDD">
        <w:rPr>
          <w:rFonts w:asciiTheme="majorHAnsi" w:hAnsiTheme="majorHAnsi"/>
        </w:rPr>
        <w:t xml:space="preserve"> </w:t>
      </w:r>
      <w:r w:rsidR="00C001C7">
        <w:rPr>
          <w:rFonts w:asciiTheme="majorHAnsi" w:hAnsiTheme="majorHAnsi"/>
        </w:rPr>
        <w:t>was</w:t>
      </w:r>
      <w:r w:rsidR="009A1FAE" w:rsidRPr="00161FDD">
        <w:rPr>
          <w:rFonts w:asciiTheme="majorHAnsi" w:hAnsiTheme="majorHAnsi"/>
        </w:rPr>
        <w:t xml:space="preserve"> shifted from traditional to digital media in the US. That’s the equivalent of the entire OOH advertising market, or half the radio market. Globally, it was more than </w:t>
      </w:r>
      <w:r w:rsidR="00C001C7">
        <w:rPr>
          <w:rFonts w:asciiTheme="majorHAnsi" w:hAnsiTheme="majorHAnsi"/>
        </w:rPr>
        <w:t xml:space="preserve">$20bn </w:t>
      </w:r>
      <w:r w:rsidR="009A1FAE" w:rsidRPr="00161FDD">
        <w:rPr>
          <w:rFonts w:asciiTheme="majorHAnsi" w:hAnsiTheme="majorHAnsi"/>
        </w:rPr>
        <w:t>this year.</w:t>
      </w:r>
    </w:p>
    <w:p w:rsidR="00300FB0" w:rsidRDefault="00300FB0" w:rsidP="009A1FAE">
      <w:pPr>
        <w:rPr>
          <w:rFonts w:asciiTheme="majorHAnsi" w:hAnsiTheme="majorHAnsi"/>
        </w:rPr>
      </w:pPr>
      <w:r w:rsidRPr="00161FDD">
        <w:rPr>
          <w:rFonts w:asciiTheme="majorHAnsi" w:hAnsiTheme="majorHAnsi"/>
        </w:rPr>
        <w:t xml:space="preserve">Overall we believe the </w:t>
      </w:r>
      <w:r w:rsidR="005A6B36" w:rsidRPr="00161FDD">
        <w:rPr>
          <w:rFonts w:asciiTheme="majorHAnsi" w:hAnsiTheme="majorHAnsi"/>
        </w:rPr>
        <w:t xml:space="preserve">expansionist effect has </w:t>
      </w:r>
      <w:r w:rsidR="005A6B36" w:rsidRPr="00161FDD">
        <w:rPr>
          <w:rFonts w:asciiTheme="majorHAnsi" w:hAnsiTheme="majorHAnsi"/>
          <w:i/>
        </w:rPr>
        <w:t>already</w:t>
      </w:r>
      <w:r w:rsidR="005A6B36" w:rsidRPr="00161FDD">
        <w:rPr>
          <w:rFonts w:asciiTheme="majorHAnsi" w:hAnsiTheme="majorHAnsi"/>
        </w:rPr>
        <w:t xml:space="preserve"> played its part in the </w:t>
      </w:r>
      <w:r w:rsidR="00161FDD" w:rsidRPr="00161FDD">
        <w:rPr>
          <w:rFonts w:asciiTheme="majorHAnsi" w:hAnsiTheme="majorHAnsi"/>
        </w:rPr>
        <w:t>last 10</w:t>
      </w:r>
      <w:r w:rsidR="005A6B36" w:rsidRPr="00161FDD">
        <w:rPr>
          <w:rFonts w:asciiTheme="majorHAnsi" w:hAnsiTheme="majorHAnsi"/>
        </w:rPr>
        <w:t xml:space="preserve"> years whereas the deflationary effect gradually becomes more dominant. This is why MAGNA GLOBAL anticipates a </w:t>
      </w:r>
      <w:r w:rsidR="00161FDD" w:rsidRPr="00161FDD">
        <w:rPr>
          <w:rFonts w:asciiTheme="majorHAnsi" w:hAnsiTheme="majorHAnsi"/>
        </w:rPr>
        <w:t>weaker-than-before conversion factor between economic growth and advertising growth. In our long-term scenario the growth of advertising spending will lag behind GDP growth.</w:t>
      </w:r>
    </w:p>
    <w:p w:rsidR="00161FDD" w:rsidRDefault="00161FDD" w:rsidP="009A1FAE">
      <w:pPr>
        <w:rPr>
          <w:rFonts w:asciiTheme="majorHAnsi" w:hAnsiTheme="majorHAnsi"/>
        </w:rPr>
      </w:pPr>
    </w:p>
    <w:p w:rsidR="00161FDD" w:rsidRDefault="00161FDD" w:rsidP="009A1FAE">
      <w:pPr>
        <w:rPr>
          <w:rFonts w:asciiTheme="majorHAnsi" w:hAnsiTheme="majorHAnsi"/>
        </w:rPr>
      </w:pPr>
      <w:r>
        <w:rPr>
          <w:rFonts w:asciiTheme="majorHAnsi" w:hAnsiTheme="majorHAnsi"/>
        </w:rPr>
        <w:t>The next MAGNA GLOBAL advertising revenue forecasts will be published in June 2015.</w:t>
      </w:r>
    </w:p>
    <w:p w:rsidR="00161FDD" w:rsidRDefault="00161FDD" w:rsidP="009A1FAE">
      <w:pPr>
        <w:rPr>
          <w:rFonts w:asciiTheme="majorHAnsi" w:hAnsiTheme="majorHAnsi"/>
        </w:rPr>
      </w:pPr>
    </w:p>
    <w:p w:rsidR="00161FDD" w:rsidRDefault="00161FDD" w:rsidP="009A1FAE">
      <w:pPr>
        <w:rPr>
          <w:rFonts w:asciiTheme="majorHAnsi" w:hAnsiTheme="majorHAnsi"/>
        </w:rPr>
      </w:pPr>
      <w:r>
        <w:rPr>
          <w:rFonts w:asciiTheme="majorHAnsi" w:hAnsiTheme="majorHAnsi"/>
        </w:rPr>
        <w:t xml:space="preserve">END </w:t>
      </w:r>
    </w:p>
    <w:p w:rsidR="00D67F7C" w:rsidRDefault="00D67F7C" w:rsidP="009A1FAE">
      <w:pPr>
        <w:rPr>
          <w:rFonts w:asciiTheme="majorHAnsi" w:hAnsiTheme="majorHAnsi"/>
        </w:rPr>
      </w:pPr>
      <w:r>
        <w:rPr>
          <w:rFonts w:asciiTheme="majorHAnsi" w:hAnsiTheme="majorHAnsi"/>
        </w:rPr>
        <w:t>--</w:t>
      </w:r>
    </w:p>
    <w:p w:rsidR="00EA307B" w:rsidRDefault="00EA307B">
      <w:pPr>
        <w:rPr>
          <w:rFonts w:asciiTheme="majorHAnsi" w:hAnsiTheme="majorHAnsi"/>
        </w:rPr>
      </w:pPr>
      <w:r>
        <w:rPr>
          <w:rFonts w:asciiTheme="majorHAnsi" w:hAnsiTheme="majorHAnsi"/>
        </w:rPr>
        <w:br w:type="page"/>
      </w:r>
    </w:p>
    <w:p w:rsidR="00697880" w:rsidRDefault="00697880" w:rsidP="00F114BF">
      <w:pPr>
        <w:pStyle w:val="Heading2"/>
        <w:spacing w:before="120" w:after="120"/>
      </w:pPr>
      <w:r>
        <w:lastRenderedPageBreak/>
        <w:t>Figure 1: Global Media Owner Advertising Revenues (2014-2016)</w:t>
      </w:r>
    </w:p>
    <w:tbl>
      <w:tblPr>
        <w:tblW w:w="9834" w:type="dxa"/>
        <w:tblInd w:w="103" w:type="dxa"/>
        <w:tblLook w:val="04A0" w:firstRow="1" w:lastRow="0" w:firstColumn="1" w:lastColumn="0" w:noHBand="0" w:noVBand="1"/>
      </w:tblPr>
      <w:tblGrid>
        <w:gridCol w:w="1985"/>
        <w:gridCol w:w="990"/>
        <w:gridCol w:w="900"/>
        <w:gridCol w:w="968"/>
        <w:gridCol w:w="262"/>
        <w:gridCol w:w="1785"/>
        <w:gridCol w:w="900"/>
        <w:gridCol w:w="964"/>
        <w:gridCol w:w="1080"/>
      </w:tblGrid>
      <w:tr w:rsidR="00D354BA" w:rsidRPr="00D354BA" w:rsidTr="00F114BF">
        <w:trPr>
          <w:trHeight w:val="432"/>
        </w:trPr>
        <w:tc>
          <w:tcPr>
            <w:tcW w:w="1985" w:type="dxa"/>
            <w:tcBorders>
              <w:top w:val="single" w:sz="4" w:space="0" w:color="auto"/>
              <w:left w:val="single" w:sz="4" w:space="0" w:color="auto"/>
              <w:bottom w:val="single" w:sz="4" w:space="0" w:color="FFFFFF"/>
              <w:right w:val="single" w:sz="4" w:space="0" w:color="FFFFFF"/>
            </w:tcBorders>
            <w:shd w:val="clear" w:color="000000" w:fill="D9D9D9"/>
            <w:noWrap/>
            <w:vAlign w:val="center"/>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Traditional Media</w:t>
            </w:r>
          </w:p>
        </w:tc>
        <w:tc>
          <w:tcPr>
            <w:tcW w:w="990" w:type="dxa"/>
            <w:tcBorders>
              <w:top w:val="single" w:sz="4" w:space="0" w:color="auto"/>
              <w:left w:val="nil"/>
              <w:bottom w:val="single" w:sz="4" w:space="0" w:color="FFFFFF"/>
              <w:right w:val="single" w:sz="4" w:space="0" w:color="FFFFFF"/>
            </w:tcBorders>
            <w:shd w:val="clear" w:color="000000" w:fill="D9D9D9"/>
            <w:noWrap/>
            <w:vAlign w:val="center"/>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2014</w:t>
            </w:r>
          </w:p>
        </w:tc>
        <w:tc>
          <w:tcPr>
            <w:tcW w:w="900" w:type="dxa"/>
            <w:tcBorders>
              <w:top w:val="single" w:sz="4" w:space="0" w:color="auto"/>
              <w:left w:val="nil"/>
              <w:bottom w:val="single" w:sz="4" w:space="0" w:color="FFFFFF"/>
              <w:right w:val="single" w:sz="4" w:space="0" w:color="FFFFFF"/>
            </w:tcBorders>
            <w:shd w:val="clear" w:color="000000" w:fill="D9D9D9"/>
            <w:noWrap/>
            <w:vAlign w:val="center"/>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2015</w:t>
            </w:r>
          </w:p>
        </w:tc>
        <w:tc>
          <w:tcPr>
            <w:tcW w:w="968" w:type="dxa"/>
            <w:tcBorders>
              <w:top w:val="single" w:sz="4" w:space="0" w:color="auto"/>
              <w:left w:val="nil"/>
              <w:bottom w:val="single" w:sz="4" w:space="0" w:color="FFFFFF"/>
              <w:right w:val="single" w:sz="4" w:space="0" w:color="FFFFFF"/>
            </w:tcBorders>
            <w:shd w:val="clear" w:color="000000" w:fill="D9D9D9"/>
            <w:noWrap/>
            <w:vAlign w:val="center"/>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2016</w:t>
            </w:r>
          </w:p>
        </w:tc>
        <w:tc>
          <w:tcPr>
            <w:tcW w:w="262" w:type="dxa"/>
            <w:tcBorders>
              <w:top w:val="single" w:sz="4" w:space="0" w:color="auto"/>
              <w:left w:val="nil"/>
              <w:bottom w:val="single" w:sz="4" w:space="0" w:color="FFFFFF"/>
              <w:right w:val="single" w:sz="4" w:space="0" w:color="FFFFFF"/>
            </w:tcBorders>
            <w:shd w:val="clear" w:color="auto" w:fill="auto"/>
            <w:noWrap/>
            <w:vAlign w:val="center"/>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single" w:sz="4" w:space="0" w:color="auto"/>
              <w:left w:val="nil"/>
              <w:bottom w:val="single" w:sz="4" w:space="0" w:color="FFFFFF"/>
              <w:right w:val="single" w:sz="4" w:space="0" w:color="FFFFFF"/>
            </w:tcBorders>
            <w:shd w:val="clear" w:color="000000" w:fill="D9D9D9"/>
            <w:noWrap/>
            <w:vAlign w:val="center"/>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Digital Media</w:t>
            </w:r>
          </w:p>
        </w:tc>
        <w:tc>
          <w:tcPr>
            <w:tcW w:w="900" w:type="dxa"/>
            <w:tcBorders>
              <w:top w:val="single" w:sz="4" w:space="0" w:color="auto"/>
              <w:left w:val="nil"/>
              <w:bottom w:val="single" w:sz="4" w:space="0" w:color="FFFFFF"/>
              <w:right w:val="single" w:sz="4" w:space="0" w:color="FFFFFF"/>
            </w:tcBorders>
            <w:shd w:val="clear" w:color="000000" w:fill="D9D9D9"/>
            <w:noWrap/>
            <w:vAlign w:val="center"/>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2014</w:t>
            </w:r>
          </w:p>
        </w:tc>
        <w:tc>
          <w:tcPr>
            <w:tcW w:w="964" w:type="dxa"/>
            <w:tcBorders>
              <w:top w:val="single" w:sz="4" w:space="0" w:color="auto"/>
              <w:left w:val="nil"/>
              <w:bottom w:val="single" w:sz="4" w:space="0" w:color="FFFFFF"/>
              <w:right w:val="single" w:sz="4" w:space="0" w:color="FFFFFF"/>
            </w:tcBorders>
            <w:shd w:val="clear" w:color="000000" w:fill="D9D9D9"/>
            <w:noWrap/>
            <w:vAlign w:val="center"/>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2015</w:t>
            </w:r>
          </w:p>
        </w:tc>
        <w:tc>
          <w:tcPr>
            <w:tcW w:w="1080" w:type="dxa"/>
            <w:tcBorders>
              <w:top w:val="single" w:sz="4" w:space="0" w:color="auto"/>
              <w:left w:val="nil"/>
              <w:bottom w:val="single" w:sz="4" w:space="0" w:color="FFFFFF"/>
              <w:right w:val="single" w:sz="4" w:space="0" w:color="auto"/>
            </w:tcBorders>
            <w:shd w:val="clear" w:color="000000" w:fill="D9D9D9"/>
            <w:noWrap/>
            <w:vAlign w:val="center"/>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2016</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Television</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203.4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209.4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222.0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Search*</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70.3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80.4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89.8 </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5.2%</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3.0%</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6.0%</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15.6%</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14.3%</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11.7%</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39.7%</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39.0%</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39.0%</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13.7%</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15.0%</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15.8%</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Newspapers</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71.9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69.1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66.7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Online Video*</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11.2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15.1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19.8 </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-4.3%</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-3.8%</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-3.5%</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34.9%</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34.3%</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31.7%</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14.0%</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12.9%</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11.7%</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2.2%</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2.8%</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3.5%</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Magazines</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28.7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26.9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25.4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Display*</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29.3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30.5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31.8 </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-7.3%</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-6.3%</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-5.8%</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5.3%</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4.2%</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4.3%</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5.6%</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5.0%</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4.5%</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5.7%</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5.7%</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5.6%</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Radio</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32.6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32.9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33.3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Social*</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16.6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22.8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29.1 </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0.1%</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1.1%</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1.2%</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63.8%</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37.3%</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27.5%</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6.4%</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6.1%</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5.9%</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3.2%</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4.3%</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5.1%</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Out-of-Home***</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30.7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31.9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33.4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Other Formats*</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14.5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14.6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14.5 </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0.1%</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4.0%</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4.8%</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3.2%</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0.7%</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-0.3%</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6.0%</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5.9%</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5.9%</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2.8%</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2.7%</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2.6%</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Cinema</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2.8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2.9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3.0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Mobile**</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30.0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43.4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59.0 </w:t>
            </w:r>
          </w:p>
        </w:tc>
      </w:tr>
      <w:tr w:rsidR="00D354BA" w:rsidRPr="00D354BA" w:rsidTr="00F114BF">
        <w:trPr>
          <w:trHeight w:val="300"/>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0.9%</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3.1%</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3.2%</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71.9%</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44.8%</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Times New Roman"/>
                <w:color w:val="000000"/>
              </w:rPr>
            </w:pPr>
            <w:r w:rsidRPr="0032238E">
              <w:rPr>
                <w:rFonts w:eastAsia="Times New Roman" w:cs="Times New Roman"/>
                <w:color w:val="000000"/>
              </w:rPr>
              <w:t>36%</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0.6%</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0.5%</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0.5%</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5.9%</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8.1%</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10.4%</w:t>
            </w:r>
          </w:p>
        </w:tc>
      </w:tr>
      <w:tr w:rsidR="00D354BA" w:rsidRPr="00D354BA" w:rsidTr="00F114BF">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8"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262"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4" w:type="dxa"/>
            <w:tcBorders>
              <w:top w:val="nil"/>
              <w:left w:val="nil"/>
              <w:bottom w:val="single" w:sz="4" w:space="0" w:color="FFFFFF"/>
              <w:right w:val="single" w:sz="4" w:space="0" w:color="FFFFFF"/>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080" w:type="dxa"/>
            <w:tcBorders>
              <w:top w:val="nil"/>
              <w:left w:val="nil"/>
              <w:bottom w:val="single" w:sz="4" w:space="0" w:color="FFFFFF"/>
              <w:right w:val="single" w:sz="4" w:space="0" w:color="auto"/>
            </w:tcBorders>
            <w:shd w:val="clear" w:color="auto" w:fill="auto"/>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r>
      <w:tr w:rsidR="00D354BA" w:rsidRPr="00D354BA" w:rsidTr="00F114BF">
        <w:trPr>
          <w:trHeight w:val="255"/>
        </w:trPr>
        <w:tc>
          <w:tcPr>
            <w:tcW w:w="1985" w:type="dxa"/>
            <w:tcBorders>
              <w:top w:val="nil"/>
              <w:left w:val="single" w:sz="4" w:space="0" w:color="auto"/>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Total Traditional</w:t>
            </w:r>
          </w:p>
        </w:tc>
        <w:tc>
          <w:tcPr>
            <w:tcW w:w="990"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370.1 </w:t>
            </w:r>
          </w:p>
        </w:tc>
        <w:tc>
          <w:tcPr>
            <w:tcW w:w="900"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373.2 </w:t>
            </w:r>
          </w:p>
        </w:tc>
        <w:tc>
          <w:tcPr>
            <w:tcW w:w="968"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383.9 </w:t>
            </w:r>
          </w:p>
        </w:tc>
        <w:tc>
          <w:tcPr>
            <w:tcW w:w="262"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Total Digital</w:t>
            </w:r>
          </w:p>
        </w:tc>
        <w:tc>
          <w:tcPr>
            <w:tcW w:w="900"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141.9 </w:t>
            </w:r>
          </w:p>
        </w:tc>
        <w:tc>
          <w:tcPr>
            <w:tcW w:w="964"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163.3 </w:t>
            </w:r>
          </w:p>
        </w:tc>
        <w:tc>
          <w:tcPr>
            <w:tcW w:w="1080" w:type="dxa"/>
            <w:tcBorders>
              <w:top w:val="nil"/>
              <w:left w:val="nil"/>
              <w:bottom w:val="single" w:sz="4" w:space="0" w:color="D9D9D9"/>
              <w:right w:val="single" w:sz="4" w:space="0" w:color="auto"/>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185.0 </w:t>
            </w:r>
          </w:p>
        </w:tc>
      </w:tr>
      <w:tr w:rsidR="00D354BA" w:rsidRPr="00D354BA" w:rsidTr="00F114BF">
        <w:trPr>
          <w:trHeight w:val="255"/>
        </w:trPr>
        <w:tc>
          <w:tcPr>
            <w:tcW w:w="1985" w:type="dxa"/>
            <w:tcBorders>
              <w:top w:val="nil"/>
              <w:left w:val="single" w:sz="4" w:space="0" w:color="auto"/>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90"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1.6%</w:t>
            </w:r>
          </w:p>
        </w:tc>
        <w:tc>
          <w:tcPr>
            <w:tcW w:w="900"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0.8%</w:t>
            </w:r>
          </w:p>
        </w:tc>
        <w:tc>
          <w:tcPr>
            <w:tcW w:w="968"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2.9%</w:t>
            </w:r>
          </w:p>
        </w:tc>
        <w:tc>
          <w:tcPr>
            <w:tcW w:w="262"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00"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17.2%</w:t>
            </w:r>
          </w:p>
        </w:tc>
        <w:tc>
          <w:tcPr>
            <w:tcW w:w="964"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15.1%</w:t>
            </w:r>
          </w:p>
        </w:tc>
        <w:tc>
          <w:tcPr>
            <w:tcW w:w="1080" w:type="dxa"/>
            <w:tcBorders>
              <w:top w:val="nil"/>
              <w:left w:val="nil"/>
              <w:bottom w:val="single" w:sz="4" w:space="0" w:color="D9D9D9"/>
              <w:right w:val="single" w:sz="4" w:space="0" w:color="auto"/>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13.3%</w:t>
            </w:r>
          </w:p>
        </w:tc>
      </w:tr>
      <w:tr w:rsidR="00D354BA" w:rsidRPr="00D354BA" w:rsidTr="00F114BF">
        <w:trPr>
          <w:trHeight w:val="255"/>
        </w:trPr>
        <w:tc>
          <w:tcPr>
            <w:tcW w:w="1985" w:type="dxa"/>
            <w:tcBorders>
              <w:top w:val="nil"/>
              <w:left w:val="single" w:sz="4" w:space="0" w:color="auto"/>
              <w:bottom w:val="nil"/>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90" w:type="dxa"/>
            <w:tcBorders>
              <w:top w:val="nil"/>
              <w:left w:val="nil"/>
              <w:bottom w:val="nil"/>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72.3%</w:t>
            </w:r>
          </w:p>
        </w:tc>
        <w:tc>
          <w:tcPr>
            <w:tcW w:w="900" w:type="dxa"/>
            <w:tcBorders>
              <w:top w:val="nil"/>
              <w:left w:val="nil"/>
              <w:bottom w:val="nil"/>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69.6%</w:t>
            </w:r>
          </w:p>
        </w:tc>
        <w:tc>
          <w:tcPr>
            <w:tcW w:w="968" w:type="dxa"/>
            <w:tcBorders>
              <w:top w:val="nil"/>
              <w:left w:val="nil"/>
              <w:bottom w:val="nil"/>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67.5%</w:t>
            </w:r>
          </w:p>
        </w:tc>
        <w:tc>
          <w:tcPr>
            <w:tcW w:w="262" w:type="dxa"/>
            <w:tcBorders>
              <w:top w:val="nil"/>
              <w:left w:val="nil"/>
              <w:bottom w:val="nil"/>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nil"/>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Market Share</w:t>
            </w:r>
          </w:p>
        </w:tc>
        <w:tc>
          <w:tcPr>
            <w:tcW w:w="900" w:type="dxa"/>
            <w:tcBorders>
              <w:top w:val="nil"/>
              <w:left w:val="nil"/>
              <w:bottom w:val="nil"/>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27.7%</w:t>
            </w:r>
          </w:p>
        </w:tc>
        <w:tc>
          <w:tcPr>
            <w:tcW w:w="964" w:type="dxa"/>
            <w:tcBorders>
              <w:top w:val="nil"/>
              <w:left w:val="nil"/>
              <w:bottom w:val="nil"/>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30.4%</w:t>
            </w:r>
          </w:p>
        </w:tc>
        <w:tc>
          <w:tcPr>
            <w:tcW w:w="1080" w:type="dxa"/>
            <w:tcBorders>
              <w:top w:val="nil"/>
              <w:left w:val="nil"/>
              <w:bottom w:val="nil"/>
              <w:right w:val="single" w:sz="4" w:space="0" w:color="auto"/>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32.5%</w:t>
            </w:r>
          </w:p>
        </w:tc>
      </w:tr>
      <w:tr w:rsidR="00D354BA" w:rsidRPr="00D354BA" w:rsidTr="00F114BF">
        <w:trPr>
          <w:trHeight w:val="255"/>
        </w:trPr>
        <w:tc>
          <w:tcPr>
            <w:tcW w:w="1985" w:type="dxa"/>
            <w:tcBorders>
              <w:top w:val="single" w:sz="4" w:space="0" w:color="auto"/>
              <w:left w:val="single" w:sz="4" w:space="0" w:color="auto"/>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90" w:type="dxa"/>
            <w:tcBorders>
              <w:top w:val="single" w:sz="4" w:space="0" w:color="auto"/>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single" w:sz="4" w:space="0" w:color="auto"/>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8" w:type="dxa"/>
            <w:tcBorders>
              <w:top w:val="single" w:sz="4" w:space="0" w:color="auto"/>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262" w:type="dxa"/>
            <w:tcBorders>
              <w:top w:val="single" w:sz="4" w:space="0" w:color="auto"/>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single" w:sz="4" w:space="0" w:color="auto"/>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single" w:sz="4" w:space="0" w:color="auto"/>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4" w:type="dxa"/>
            <w:tcBorders>
              <w:top w:val="single" w:sz="4" w:space="0" w:color="auto"/>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080" w:type="dxa"/>
            <w:tcBorders>
              <w:top w:val="single" w:sz="4" w:space="0" w:color="auto"/>
              <w:left w:val="nil"/>
              <w:bottom w:val="single" w:sz="4" w:space="0" w:color="D9D9D9"/>
              <w:right w:val="single" w:sz="4" w:space="0" w:color="auto"/>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r>
      <w:tr w:rsidR="00D354BA" w:rsidRPr="00D354BA" w:rsidTr="00F114BF">
        <w:trPr>
          <w:trHeight w:val="255"/>
        </w:trPr>
        <w:tc>
          <w:tcPr>
            <w:tcW w:w="1985" w:type="dxa"/>
            <w:tcBorders>
              <w:top w:val="single" w:sz="4" w:space="0" w:color="FFFFFF"/>
              <w:left w:val="single" w:sz="4" w:space="0" w:color="auto"/>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Grand Total</w:t>
            </w:r>
          </w:p>
        </w:tc>
        <w:tc>
          <w:tcPr>
            <w:tcW w:w="990" w:type="dxa"/>
            <w:tcBorders>
              <w:top w:val="single" w:sz="4" w:space="0" w:color="FFFFFF"/>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512.0 </w:t>
            </w:r>
          </w:p>
        </w:tc>
        <w:tc>
          <w:tcPr>
            <w:tcW w:w="900" w:type="dxa"/>
            <w:tcBorders>
              <w:top w:val="single" w:sz="4" w:space="0" w:color="FFFFFF"/>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536.6 </w:t>
            </w:r>
          </w:p>
        </w:tc>
        <w:tc>
          <w:tcPr>
            <w:tcW w:w="968" w:type="dxa"/>
            <w:tcBorders>
              <w:top w:val="single" w:sz="4" w:space="0" w:color="FFFFFF"/>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b/>
                <w:bCs/>
                <w:color w:val="000000"/>
                <w:sz w:val="20"/>
                <w:szCs w:val="20"/>
              </w:rPr>
            </w:pPr>
            <w:r w:rsidRPr="0032238E">
              <w:rPr>
                <w:rFonts w:eastAsia="Times New Roman" w:cs="Arial"/>
                <w:b/>
                <w:bCs/>
                <w:color w:val="000000"/>
                <w:sz w:val="20"/>
                <w:szCs w:val="20"/>
              </w:rPr>
              <w:t xml:space="preserve">569.0 </w:t>
            </w:r>
          </w:p>
        </w:tc>
        <w:tc>
          <w:tcPr>
            <w:tcW w:w="262" w:type="dxa"/>
            <w:tcBorders>
              <w:top w:val="single" w:sz="4" w:space="0" w:color="FFFFFF"/>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single" w:sz="4" w:space="0" w:color="FFFFFF"/>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 </w:t>
            </w:r>
          </w:p>
        </w:tc>
        <w:tc>
          <w:tcPr>
            <w:tcW w:w="900" w:type="dxa"/>
            <w:tcBorders>
              <w:top w:val="single" w:sz="4" w:space="0" w:color="FFFFFF"/>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 </w:t>
            </w:r>
          </w:p>
        </w:tc>
        <w:tc>
          <w:tcPr>
            <w:tcW w:w="964" w:type="dxa"/>
            <w:tcBorders>
              <w:top w:val="single" w:sz="4" w:space="0" w:color="FFFFFF"/>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 </w:t>
            </w:r>
          </w:p>
        </w:tc>
        <w:tc>
          <w:tcPr>
            <w:tcW w:w="1080" w:type="dxa"/>
            <w:tcBorders>
              <w:top w:val="single" w:sz="4" w:space="0" w:color="FFFFFF"/>
              <w:left w:val="nil"/>
              <w:bottom w:val="single" w:sz="4" w:space="0" w:color="D9D9D9"/>
              <w:right w:val="single" w:sz="4" w:space="0" w:color="auto"/>
            </w:tcBorders>
            <w:shd w:val="clear" w:color="000000" w:fill="D9D9D9"/>
            <w:noWrap/>
            <w:vAlign w:val="bottom"/>
            <w:hideMark/>
          </w:tcPr>
          <w:p w:rsidR="00D354BA" w:rsidRPr="0032238E" w:rsidRDefault="00D354BA" w:rsidP="00D354BA">
            <w:pPr>
              <w:spacing w:before="0" w:after="0" w:line="240" w:lineRule="auto"/>
              <w:rPr>
                <w:rFonts w:eastAsia="Times New Roman" w:cs="Arial"/>
                <w:b/>
                <w:bCs/>
                <w:color w:val="000000"/>
                <w:sz w:val="20"/>
                <w:szCs w:val="20"/>
              </w:rPr>
            </w:pPr>
            <w:r w:rsidRPr="0032238E">
              <w:rPr>
                <w:rFonts w:eastAsia="Times New Roman" w:cs="Arial"/>
                <w:b/>
                <w:bCs/>
                <w:color w:val="000000"/>
                <w:sz w:val="20"/>
                <w:szCs w:val="20"/>
              </w:rPr>
              <w:t> </w:t>
            </w:r>
          </w:p>
        </w:tc>
      </w:tr>
      <w:tr w:rsidR="00D354BA" w:rsidRPr="00D354BA" w:rsidTr="00F114BF">
        <w:trPr>
          <w:trHeight w:val="255"/>
        </w:trPr>
        <w:tc>
          <w:tcPr>
            <w:tcW w:w="1985" w:type="dxa"/>
            <w:tcBorders>
              <w:top w:val="nil"/>
              <w:left w:val="single" w:sz="4" w:space="0" w:color="auto"/>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Growth</w:t>
            </w:r>
          </w:p>
        </w:tc>
        <w:tc>
          <w:tcPr>
            <w:tcW w:w="990"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5.5%</w:t>
            </w:r>
          </w:p>
        </w:tc>
        <w:tc>
          <w:tcPr>
            <w:tcW w:w="900"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4.8%</w:t>
            </w:r>
          </w:p>
        </w:tc>
        <w:tc>
          <w:tcPr>
            <w:tcW w:w="968"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jc w:val="right"/>
              <w:rPr>
                <w:rFonts w:eastAsia="Times New Roman" w:cs="Arial"/>
                <w:color w:val="000000"/>
                <w:sz w:val="20"/>
                <w:szCs w:val="20"/>
              </w:rPr>
            </w:pPr>
            <w:r w:rsidRPr="0032238E">
              <w:rPr>
                <w:rFonts w:eastAsia="Times New Roman" w:cs="Arial"/>
                <w:color w:val="000000"/>
                <w:sz w:val="20"/>
                <w:szCs w:val="20"/>
              </w:rPr>
              <w:t>6.0%</w:t>
            </w:r>
          </w:p>
        </w:tc>
        <w:tc>
          <w:tcPr>
            <w:tcW w:w="262"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4" w:type="dxa"/>
            <w:tcBorders>
              <w:top w:val="nil"/>
              <w:left w:val="nil"/>
              <w:bottom w:val="single" w:sz="4" w:space="0" w:color="D9D9D9"/>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080" w:type="dxa"/>
            <w:tcBorders>
              <w:top w:val="nil"/>
              <w:left w:val="nil"/>
              <w:bottom w:val="single" w:sz="4" w:space="0" w:color="D9D9D9"/>
              <w:right w:val="single" w:sz="4" w:space="0" w:color="auto"/>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r>
      <w:tr w:rsidR="00D354BA" w:rsidRPr="00D354BA" w:rsidTr="00F114BF">
        <w:trPr>
          <w:trHeight w:val="120"/>
        </w:trPr>
        <w:tc>
          <w:tcPr>
            <w:tcW w:w="1985" w:type="dxa"/>
            <w:tcBorders>
              <w:top w:val="nil"/>
              <w:left w:val="single" w:sz="4" w:space="0" w:color="auto"/>
              <w:bottom w:val="single" w:sz="4" w:space="0" w:color="auto"/>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90" w:type="dxa"/>
            <w:tcBorders>
              <w:top w:val="nil"/>
              <w:left w:val="nil"/>
              <w:bottom w:val="single" w:sz="4" w:space="0" w:color="auto"/>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auto"/>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8" w:type="dxa"/>
            <w:tcBorders>
              <w:top w:val="nil"/>
              <w:left w:val="nil"/>
              <w:bottom w:val="single" w:sz="4" w:space="0" w:color="auto"/>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262" w:type="dxa"/>
            <w:tcBorders>
              <w:top w:val="nil"/>
              <w:left w:val="nil"/>
              <w:bottom w:val="single" w:sz="4" w:space="0" w:color="auto"/>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785" w:type="dxa"/>
            <w:tcBorders>
              <w:top w:val="nil"/>
              <w:left w:val="nil"/>
              <w:bottom w:val="single" w:sz="4" w:space="0" w:color="auto"/>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00" w:type="dxa"/>
            <w:tcBorders>
              <w:top w:val="nil"/>
              <w:left w:val="nil"/>
              <w:bottom w:val="single" w:sz="4" w:space="0" w:color="auto"/>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964" w:type="dxa"/>
            <w:tcBorders>
              <w:top w:val="nil"/>
              <w:left w:val="nil"/>
              <w:bottom w:val="single" w:sz="4" w:space="0" w:color="auto"/>
              <w:right w:val="single" w:sz="4" w:space="0" w:color="D9D9D9"/>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D354BA" w:rsidRPr="0032238E" w:rsidRDefault="00D354BA" w:rsidP="00D354BA">
            <w:pPr>
              <w:spacing w:before="0" w:after="0" w:line="240" w:lineRule="auto"/>
              <w:rPr>
                <w:rFonts w:eastAsia="Times New Roman" w:cs="Arial"/>
                <w:color w:val="000000"/>
                <w:sz w:val="20"/>
                <w:szCs w:val="20"/>
              </w:rPr>
            </w:pPr>
            <w:r w:rsidRPr="0032238E">
              <w:rPr>
                <w:rFonts w:eastAsia="Times New Roman" w:cs="Arial"/>
                <w:color w:val="000000"/>
                <w:sz w:val="20"/>
                <w:szCs w:val="20"/>
              </w:rPr>
              <w:t> </w:t>
            </w:r>
          </w:p>
        </w:tc>
      </w:tr>
    </w:tbl>
    <w:p w:rsidR="00697880" w:rsidRPr="001768CD" w:rsidRDefault="00697880" w:rsidP="00697880">
      <w:pPr>
        <w:rPr>
          <w:rFonts w:asciiTheme="majorHAnsi" w:hAnsiTheme="majorHAnsi"/>
          <w:sz w:val="20"/>
        </w:rPr>
      </w:pPr>
      <w:r w:rsidRPr="001768CD">
        <w:rPr>
          <w:rFonts w:asciiTheme="majorHAnsi" w:hAnsiTheme="majorHAnsi"/>
          <w:sz w:val="20"/>
        </w:rPr>
        <w:t>Source: MAGNA GLOBAL, December 2014</w:t>
      </w:r>
    </w:p>
    <w:p w:rsidR="00697880" w:rsidRPr="001768CD" w:rsidRDefault="00697880" w:rsidP="00697880">
      <w:pPr>
        <w:rPr>
          <w:rFonts w:asciiTheme="majorHAnsi" w:hAnsiTheme="majorHAnsi"/>
          <w:sz w:val="14"/>
        </w:rPr>
      </w:pPr>
      <w:r>
        <w:rPr>
          <w:rFonts w:asciiTheme="majorHAnsi" w:hAnsiTheme="majorHAnsi"/>
          <w:sz w:val="14"/>
        </w:rPr>
        <w:t>*</w:t>
      </w:r>
      <w:r w:rsidRPr="001768CD">
        <w:rPr>
          <w:rFonts w:asciiTheme="majorHAnsi" w:hAnsiTheme="majorHAnsi"/>
          <w:sz w:val="14"/>
        </w:rPr>
        <w:t>Includes desktop-based and mobile-based advertising.</w:t>
      </w:r>
    </w:p>
    <w:p w:rsidR="00697880" w:rsidRDefault="00697880" w:rsidP="00697880">
      <w:pPr>
        <w:rPr>
          <w:rFonts w:asciiTheme="majorHAnsi" w:hAnsiTheme="majorHAnsi"/>
          <w:sz w:val="14"/>
        </w:rPr>
      </w:pPr>
      <w:r w:rsidRPr="001768CD">
        <w:rPr>
          <w:rFonts w:asciiTheme="majorHAnsi" w:hAnsiTheme="majorHAnsi"/>
          <w:sz w:val="14"/>
        </w:rPr>
        <w:t>*</w:t>
      </w:r>
      <w:r>
        <w:rPr>
          <w:rFonts w:asciiTheme="majorHAnsi" w:hAnsiTheme="majorHAnsi"/>
          <w:sz w:val="14"/>
        </w:rPr>
        <w:t>*</w:t>
      </w:r>
      <w:r w:rsidRPr="001768CD">
        <w:rPr>
          <w:rFonts w:asciiTheme="majorHAnsi" w:hAnsiTheme="majorHAnsi"/>
          <w:sz w:val="14"/>
        </w:rPr>
        <w:t>Digital advertising spend on tablets and smartphones, across all formats (search, display, video, social).</w:t>
      </w:r>
    </w:p>
    <w:p w:rsidR="00D354BA" w:rsidRPr="001768CD" w:rsidRDefault="00D354BA" w:rsidP="00697880">
      <w:pPr>
        <w:rPr>
          <w:rFonts w:asciiTheme="majorHAnsi" w:hAnsiTheme="majorHAnsi"/>
          <w:sz w:val="14"/>
        </w:rPr>
      </w:pPr>
      <w:r>
        <w:rPr>
          <w:rFonts w:asciiTheme="majorHAnsi" w:hAnsiTheme="majorHAnsi"/>
          <w:sz w:val="14"/>
        </w:rPr>
        <w:t>***OOH includes traditional and digital OOH formats. Excludes on-screen cinema advertising.</w:t>
      </w:r>
    </w:p>
    <w:p w:rsidR="00517CDA" w:rsidRDefault="00517CDA">
      <w:pPr>
        <w:rPr>
          <w:rFonts w:asciiTheme="majorHAnsi" w:eastAsiaTheme="majorEastAsia" w:hAnsiTheme="majorHAnsi" w:cstheme="majorBidi"/>
          <w:b/>
          <w:bCs/>
          <w:color w:val="1F497D" w:themeColor="text2"/>
          <w:sz w:val="26"/>
          <w:szCs w:val="26"/>
        </w:rPr>
      </w:pPr>
      <w:r>
        <w:br w:type="page"/>
      </w:r>
    </w:p>
    <w:p w:rsidR="00517CDA" w:rsidRDefault="00517CDA" w:rsidP="00517CDA">
      <w:pPr>
        <w:pStyle w:val="Heading2"/>
        <w:spacing w:before="120" w:after="120"/>
      </w:pPr>
      <w:r>
        <w:lastRenderedPageBreak/>
        <w:t>Figure 2: US Media Owner Advertising Revenues (2014-2016)</w:t>
      </w:r>
    </w:p>
    <w:tbl>
      <w:tblPr>
        <w:tblW w:w="9947" w:type="dxa"/>
        <w:tblInd w:w="103" w:type="dxa"/>
        <w:tblLook w:val="04A0" w:firstRow="1" w:lastRow="0" w:firstColumn="1" w:lastColumn="0" w:noHBand="0" w:noVBand="1"/>
      </w:tblPr>
      <w:tblGrid>
        <w:gridCol w:w="1985"/>
        <w:gridCol w:w="1080"/>
        <w:gridCol w:w="900"/>
        <w:gridCol w:w="990"/>
        <w:gridCol w:w="272"/>
        <w:gridCol w:w="1708"/>
        <w:gridCol w:w="852"/>
        <w:gridCol w:w="1080"/>
        <w:gridCol w:w="1080"/>
      </w:tblGrid>
      <w:tr w:rsidR="00517CDA" w:rsidRPr="00517CDA" w:rsidTr="00517CDA">
        <w:trPr>
          <w:trHeight w:val="390"/>
        </w:trPr>
        <w:tc>
          <w:tcPr>
            <w:tcW w:w="1985" w:type="dxa"/>
            <w:tcBorders>
              <w:top w:val="single" w:sz="4" w:space="0" w:color="auto"/>
              <w:left w:val="single" w:sz="4" w:space="0" w:color="auto"/>
              <w:bottom w:val="single" w:sz="4" w:space="0" w:color="FFFFFF"/>
              <w:right w:val="single" w:sz="4" w:space="0" w:color="FFFFFF"/>
            </w:tcBorders>
            <w:shd w:val="clear" w:color="000000" w:fill="D9D9D9"/>
            <w:noWrap/>
            <w:vAlign w:val="center"/>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Traditional Media</w:t>
            </w:r>
          </w:p>
        </w:tc>
        <w:tc>
          <w:tcPr>
            <w:tcW w:w="1080" w:type="dxa"/>
            <w:tcBorders>
              <w:top w:val="single" w:sz="4" w:space="0" w:color="auto"/>
              <w:left w:val="nil"/>
              <w:bottom w:val="single" w:sz="4" w:space="0" w:color="FFFFFF"/>
              <w:right w:val="single" w:sz="4" w:space="0" w:color="FFFFFF"/>
            </w:tcBorders>
            <w:shd w:val="clear" w:color="000000" w:fill="D9D9D9"/>
            <w:noWrap/>
            <w:vAlign w:val="center"/>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2014</w:t>
            </w:r>
          </w:p>
        </w:tc>
        <w:tc>
          <w:tcPr>
            <w:tcW w:w="900" w:type="dxa"/>
            <w:tcBorders>
              <w:top w:val="single" w:sz="4" w:space="0" w:color="auto"/>
              <w:left w:val="nil"/>
              <w:bottom w:val="single" w:sz="4" w:space="0" w:color="FFFFFF"/>
              <w:right w:val="single" w:sz="4" w:space="0" w:color="FFFFFF"/>
            </w:tcBorders>
            <w:shd w:val="clear" w:color="000000" w:fill="D9D9D9"/>
            <w:noWrap/>
            <w:vAlign w:val="center"/>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2015</w:t>
            </w:r>
          </w:p>
        </w:tc>
        <w:tc>
          <w:tcPr>
            <w:tcW w:w="990" w:type="dxa"/>
            <w:tcBorders>
              <w:top w:val="single" w:sz="4" w:space="0" w:color="auto"/>
              <w:left w:val="nil"/>
              <w:bottom w:val="single" w:sz="4" w:space="0" w:color="FFFFFF"/>
              <w:right w:val="single" w:sz="4" w:space="0" w:color="FFFFFF"/>
            </w:tcBorders>
            <w:shd w:val="clear" w:color="000000" w:fill="D9D9D9"/>
            <w:noWrap/>
            <w:vAlign w:val="center"/>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2016</w:t>
            </w:r>
          </w:p>
        </w:tc>
        <w:tc>
          <w:tcPr>
            <w:tcW w:w="272" w:type="dxa"/>
            <w:tcBorders>
              <w:top w:val="single" w:sz="4" w:space="0" w:color="auto"/>
              <w:left w:val="nil"/>
              <w:bottom w:val="single" w:sz="4" w:space="0" w:color="FFFFFF"/>
              <w:right w:val="single" w:sz="4" w:space="0" w:color="FFFFFF"/>
            </w:tcBorders>
            <w:shd w:val="clear" w:color="auto" w:fill="auto"/>
            <w:noWrap/>
            <w:vAlign w:val="center"/>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single" w:sz="4" w:space="0" w:color="auto"/>
              <w:left w:val="nil"/>
              <w:bottom w:val="single" w:sz="4" w:space="0" w:color="FFFFFF"/>
              <w:right w:val="single" w:sz="4" w:space="0" w:color="FFFFFF"/>
            </w:tcBorders>
            <w:shd w:val="clear" w:color="000000" w:fill="D9D9D9"/>
            <w:noWrap/>
            <w:vAlign w:val="center"/>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Digital Media</w:t>
            </w:r>
          </w:p>
        </w:tc>
        <w:tc>
          <w:tcPr>
            <w:tcW w:w="852" w:type="dxa"/>
            <w:tcBorders>
              <w:top w:val="single" w:sz="4" w:space="0" w:color="auto"/>
              <w:left w:val="nil"/>
              <w:bottom w:val="single" w:sz="4" w:space="0" w:color="FFFFFF"/>
              <w:right w:val="single" w:sz="4" w:space="0" w:color="FFFFFF"/>
            </w:tcBorders>
            <w:shd w:val="clear" w:color="000000" w:fill="D9D9D9"/>
            <w:noWrap/>
            <w:vAlign w:val="center"/>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2014</w:t>
            </w:r>
          </w:p>
        </w:tc>
        <w:tc>
          <w:tcPr>
            <w:tcW w:w="1080" w:type="dxa"/>
            <w:tcBorders>
              <w:top w:val="single" w:sz="4" w:space="0" w:color="auto"/>
              <w:left w:val="nil"/>
              <w:bottom w:val="single" w:sz="4" w:space="0" w:color="FFFFFF"/>
              <w:right w:val="single" w:sz="4" w:space="0" w:color="FFFFFF"/>
            </w:tcBorders>
            <w:shd w:val="clear" w:color="000000" w:fill="D9D9D9"/>
            <w:noWrap/>
            <w:vAlign w:val="center"/>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2015</w:t>
            </w:r>
          </w:p>
        </w:tc>
        <w:tc>
          <w:tcPr>
            <w:tcW w:w="1080" w:type="dxa"/>
            <w:tcBorders>
              <w:top w:val="single" w:sz="4" w:space="0" w:color="auto"/>
              <w:left w:val="nil"/>
              <w:bottom w:val="single" w:sz="4" w:space="0" w:color="FFFFFF"/>
              <w:right w:val="single" w:sz="4" w:space="0" w:color="auto"/>
            </w:tcBorders>
            <w:shd w:val="clear" w:color="000000" w:fill="D9D9D9"/>
            <w:noWrap/>
            <w:vAlign w:val="center"/>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2016</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Television</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66,654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65,706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68,825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Search*</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25,544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29,226 </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32,890 </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4.8%</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-1.4%</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4.7%</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12.3%</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14.4%</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12.5%</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40.4%</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38.8%</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38.5%</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15.5%</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17.2%</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18.4%</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Newspapers</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16,458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15,109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14,021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Online Video*</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3,812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5,433 </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7,336 </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-9.2%</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-8.2%</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-7.2%</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27.8%</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42.5%</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35.0%</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10.0%</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8.9%</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7.8%</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2.3%</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3.2%</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4.1%</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Magazines</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10,722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9,714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8,888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Display*</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7,973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8,069 </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8,080 </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-10.9%</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-9.4%</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-8.5%</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1.3%</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1.2%</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0.1%</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6.5%</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5.7%</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5.0%</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4.8%</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4.8%</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4.5%</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Radio</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14,777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14,599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14,483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Social*</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7,415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9,713 </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11,871 </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-3.2%</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-1.2%</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-0.8%</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64.8%</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31.0%</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22.2%</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9.0%</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8.6%</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8.1%</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4.5%</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5.7%</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6.6%</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Out-of-Home</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6,993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7,250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7,582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Other Formats*</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4,711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4,695 </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4,693 </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0.8%</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3.7%</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4.6%</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0.5%</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-0.3%</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0.0%</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4.2%</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4.3%</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4.2%</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2.9%</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2.8%</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2.6%</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Mobile**</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12,563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17,804 </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24,043 </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77.3%</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41.7%</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35.0%</w:t>
            </w:r>
          </w:p>
        </w:tc>
      </w:tr>
      <w:tr w:rsidR="00517CDA" w:rsidRPr="00517CDA" w:rsidTr="00517CDA">
        <w:trPr>
          <w:trHeight w:val="255"/>
        </w:trPr>
        <w:tc>
          <w:tcPr>
            <w:tcW w:w="1985" w:type="dxa"/>
            <w:tcBorders>
              <w:top w:val="nil"/>
              <w:left w:val="single" w:sz="4" w:space="0" w:color="auto"/>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0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9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27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852"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7.6%</w:t>
            </w:r>
          </w:p>
        </w:tc>
        <w:tc>
          <w:tcPr>
            <w:tcW w:w="1080" w:type="dxa"/>
            <w:tcBorders>
              <w:top w:val="nil"/>
              <w:left w:val="nil"/>
              <w:bottom w:val="single" w:sz="4" w:space="0" w:color="FFFFFF"/>
              <w:right w:val="single" w:sz="4" w:space="0" w:color="FFFFFF"/>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10.5%</w:t>
            </w:r>
          </w:p>
        </w:tc>
        <w:tc>
          <w:tcPr>
            <w:tcW w:w="1080" w:type="dxa"/>
            <w:tcBorders>
              <w:top w:val="nil"/>
              <w:left w:val="nil"/>
              <w:bottom w:val="single" w:sz="4" w:space="0" w:color="FFFFFF"/>
              <w:right w:val="single" w:sz="4" w:space="0" w:color="auto"/>
            </w:tcBorders>
            <w:shd w:val="clear" w:color="auto" w:fill="auto"/>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13.5%</w:t>
            </w:r>
          </w:p>
        </w:tc>
      </w:tr>
      <w:tr w:rsidR="00517CDA" w:rsidRPr="00517CDA" w:rsidTr="00517CDA">
        <w:trPr>
          <w:trHeight w:val="255"/>
        </w:trPr>
        <w:tc>
          <w:tcPr>
            <w:tcW w:w="1985" w:type="dxa"/>
            <w:tcBorders>
              <w:top w:val="nil"/>
              <w:left w:val="single" w:sz="4" w:space="0" w:color="auto"/>
              <w:bottom w:val="nil"/>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nil"/>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00" w:type="dxa"/>
            <w:tcBorders>
              <w:top w:val="nil"/>
              <w:left w:val="nil"/>
              <w:bottom w:val="nil"/>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90" w:type="dxa"/>
            <w:tcBorders>
              <w:top w:val="nil"/>
              <w:left w:val="nil"/>
              <w:bottom w:val="nil"/>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272" w:type="dxa"/>
            <w:tcBorders>
              <w:top w:val="nil"/>
              <w:left w:val="nil"/>
              <w:bottom w:val="nil"/>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nil"/>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852" w:type="dxa"/>
            <w:tcBorders>
              <w:top w:val="nil"/>
              <w:left w:val="nil"/>
              <w:bottom w:val="nil"/>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nil"/>
              <w:right w:val="single" w:sz="4" w:space="0" w:color="FFFFFF"/>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r>
      <w:tr w:rsidR="00517CDA" w:rsidRPr="00517CDA" w:rsidTr="00517CDA">
        <w:trPr>
          <w:trHeight w:val="255"/>
        </w:trPr>
        <w:tc>
          <w:tcPr>
            <w:tcW w:w="1985" w:type="dxa"/>
            <w:tcBorders>
              <w:top w:val="single" w:sz="4" w:space="0" w:color="auto"/>
              <w:left w:val="single" w:sz="4" w:space="0" w:color="auto"/>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Total Traditional</w:t>
            </w:r>
          </w:p>
        </w:tc>
        <w:tc>
          <w:tcPr>
            <w:tcW w:w="1080" w:type="dxa"/>
            <w:tcBorders>
              <w:top w:val="single" w:sz="4" w:space="0" w:color="auto"/>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115,603 </w:t>
            </w:r>
          </w:p>
        </w:tc>
        <w:tc>
          <w:tcPr>
            <w:tcW w:w="900" w:type="dxa"/>
            <w:tcBorders>
              <w:top w:val="single" w:sz="4" w:space="0" w:color="auto"/>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112,379 </w:t>
            </w:r>
          </w:p>
        </w:tc>
        <w:tc>
          <w:tcPr>
            <w:tcW w:w="990" w:type="dxa"/>
            <w:tcBorders>
              <w:top w:val="single" w:sz="4" w:space="0" w:color="auto"/>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113,798 </w:t>
            </w:r>
          </w:p>
        </w:tc>
        <w:tc>
          <w:tcPr>
            <w:tcW w:w="272" w:type="dxa"/>
            <w:tcBorders>
              <w:top w:val="single" w:sz="4" w:space="0" w:color="auto"/>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single" w:sz="4" w:space="0" w:color="auto"/>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Total Digital</w:t>
            </w:r>
          </w:p>
        </w:tc>
        <w:tc>
          <w:tcPr>
            <w:tcW w:w="852" w:type="dxa"/>
            <w:tcBorders>
              <w:top w:val="single" w:sz="4" w:space="0" w:color="auto"/>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49,455 </w:t>
            </w:r>
          </w:p>
        </w:tc>
        <w:tc>
          <w:tcPr>
            <w:tcW w:w="1080" w:type="dxa"/>
            <w:tcBorders>
              <w:top w:val="single" w:sz="4" w:space="0" w:color="auto"/>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57,136 </w:t>
            </w:r>
          </w:p>
        </w:tc>
        <w:tc>
          <w:tcPr>
            <w:tcW w:w="1080" w:type="dxa"/>
            <w:tcBorders>
              <w:top w:val="single" w:sz="4" w:space="0" w:color="auto"/>
              <w:left w:val="nil"/>
              <w:bottom w:val="single" w:sz="4" w:space="0" w:color="D9D9D9"/>
              <w:right w:val="single" w:sz="4" w:space="0" w:color="auto"/>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64,870 </w:t>
            </w:r>
          </w:p>
        </w:tc>
      </w:tr>
      <w:tr w:rsidR="00517CDA" w:rsidRPr="00517CDA" w:rsidTr="00517CDA">
        <w:trPr>
          <w:trHeight w:val="255"/>
        </w:trPr>
        <w:tc>
          <w:tcPr>
            <w:tcW w:w="1985" w:type="dxa"/>
            <w:tcBorders>
              <w:top w:val="nil"/>
              <w:left w:val="single" w:sz="4" w:space="0" w:color="auto"/>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1080" w:type="dxa"/>
            <w:tcBorders>
              <w:top w:val="nil"/>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-0.3%</w:t>
            </w:r>
          </w:p>
        </w:tc>
        <w:tc>
          <w:tcPr>
            <w:tcW w:w="900" w:type="dxa"/>
            <w:tcBorders>
              <w:top w:val="nil"/>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-2.8%</w:t>
            </w:r>
          </w:p>
        </w:tc>
        <w:tc>
          <w:tcPr>
            <w:tcW w:w="990" w:type="dxa"/>
            <w:tcBorders>
              <w:top w:val="nil"/>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1.3%</w:t>
            </w:r>
          </w:p>
        </w:tc>
        <w:tc>
          <w:tcPr>
            <w:tcW w:w="272" w:type="dxa"/>
            <w:tcBorders>
              <w:top w:val="nil"/>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852" w:type="dxa"/>
            <w:tcBorders>
              <w:top w:val="nil"/>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15.6%</w:t>
            </w:r>
          </w:p>
        </w:tc>
        <w:tc>
          <w:tcPr>
            <w:tcW w:w="1080" w:type="dxa"/>
            <w:tcBorders>
              <w:top w:val="nil"/>
              <w:left w:val="nil"/>
              <w:bottom w:val="single" w:sz="4" w:space="0" w:color="D9D9D9"/>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15.5%</w:t>
            </w:r>
          </w:p>
        </w:tc>
        <w:tc>
          <w:tcPr>
            <w:tcW w:w="1080" w:type="dxa"/>
            <w:tcBorders>
              <w:top w:val="nil"/>
              <w:left w:val="nil"/>
              <w:bottom w:val="single" w:sz="4" w:space="0" w:color="D9D9D9"/>
              <w:right w:val="single" w:sz="4" w:space="0" w:color="auto"/>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13.5%</w:t>
            </w:r>
          </w:p>
        </w:tc>
      </w:tr>
      <w:tr w:rsidR="00517CDA" w:rsidRPr="00517CDA" w:rsidTr="00517CDA">
        <w:trPr>
          <w:trHeight w:val="255"/>
        </w:trPr>
        <w:tc>
          <w:tcPr>
            <w:tcW w:w="1985" w:type="dxa"/>
            <w:tcBorders>
              <w:top w:val="nil"/>
              <w:left w:val="single" w:sz="4" w:space="0" w:color="auto"/>
              <w:bottom w:val="nil"/>
              <w:right w:val="single" w:sz="4" w:space="0" w:color="D9D9D9"/>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1080" w:type="dxa"/>
            <w:tcBorders>
              <w:top w:val="nil"/>
              <w:left w:val="nil"/>
              <w:bottom w:val="nil"/>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70.0%</w:t>
            </w:r>
          </w:p>
        </w:tc>
        <w:tc>
          <w:tcPr>
            <w:tcW w:w="900" w:type="dxa"/>
            <w:tcBorders>
              <w:top w:val="nil"/>
              <w:left w:val="nil"/>
              <w:bottom w:val="nil"/>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66.3%</w:t>
            </w:r>
          </w:p>
        </w:tc>
        <w:tc>
          <w:tcPr>
            <w:tcW w:w="990" w:type="dxa"/>
            <w:tcBorders>
              <w:top w:val="nil"/>
              <w:left w:val="nil"/>
              <w:bottom w:val="nil"/>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63.7%</w:t>
            </w:r>
          </w:p>
        </w:tc>
        <w:tc>
          <w:tcPr>
            <w:tcW w:w="272" w:type="dxa"/>
            <w:tcBorders>
              <w:top w:val="nil"/>
              <w:left w:val="nil"/>
              <w:bottom w:val="nil"/>
              <w:right w:val="single" w:sz="4" w:space="0" w:color="D9D9D9"/>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nil"/>
              <w:right w:val="single" w:sz="4" w:space="0" w:color="D9D9D9"/>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Market Share</w:t>
            </w:r>
          </w:p>
        </w:tc>
        <w:tc>
          <w:tcPr>
            <w:tcW w:w="852" w:type="dxa"/>
            <w:tcBorders>
              <w:top w:val="nil"/>
              <w:left w:val="nil"/>
              <w:bottom w:val="nil"/>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30.0%</w:t>
            </w:r>
          </w:p>
        </w:tc>
        <w:tc>
          <w:tcPr>
            <w:tcW w:w="1080" w:type="dxa"/>
            <w:tcBorders>
              <w:top w:val="nil"/>
              <w:left w:val="nil"/>
              <w:bottom w:val="nil"/>
              <w:right w:val="single" w:sz="4" w:space="0" w:color="D9D9D9"/>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33.7%</w:t>
            </w:r>
          </w:p>
        </w:tc>
        <w:tc>
          <w:tcPr>
            <w:tcW w:w="1080" w:type="dxa"/>
            <w:tcBorders>
              <w:top w:val="nil"/>
              <w:left w:val="nil"/>
              <w:bottom w:val="nil"/>
              <w:right w:val="single" w:sz="4" w:space="0" w:color="auto"/>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36.3%</w:t>
            </w:r>
          </w:p>
        </w:tc>
      </w:tr>
      <w:tr w:rsidR="00517CDA" w:rsidRPr="00517CDA" w:rsidTr="00517CDA">
        <w:trPr>
          <w:trHeight w:val="90"/>
        </w:trPr>
        <w:tc>
          <w:tcPr>
            <w:tcW w:w="1985" w:type="dxa"/>
            <w:tcBorders>
              <w:top w:val="single" w:sz="4" w:space="0" w:color="auto"/>
              <w:left w:val="single" w:sz="4" w:space="0" w:color="auto"/>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single" w:sz="4" w:space="0" w:color="auto"/>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00" w:type="dxa"/>
            <w:tcBorders>
              <w:top w:val="single" w:sz="4" w:space="0" w:color="auto"/>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90" w:type="dxa"/>
            <w:tcBorders>
              <w:top w:val="single" w:sz="4" w:space="0" w:color="auto"/>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272" w:type="dxa"/>
            <w:tcBorders>
              <w:top w:val="single" w:sz="4" w:space="0" w:color="auto"/>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single" w:sz="4" w:space="0" w:color="auto"/>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852" w:type="dxa"/>
            <w:tcBorders>
              <w:top w:val="single" w:sz="4" w:space="0" w:color="auto"/>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single" w:sz="4" w:space="0" w:color="auto"/>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single" w:sz="4" w:space="0" w:color="auto"/>
              <w:left w:val="nil"/>
              <w:bottom w:val="nil"/>
              <w:right w:val="single" w:sz="4" w:space="0" w:color="auto"/>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r>
      <w:tr w:rsidR="00517CDA" w:rsidRPr="00517CDA" w:rsidTr="00517CDA">
        <w:trPr>
          <w:trHeight w:val="255"/>
        </w:trPr>
        <w:tc>
          <w:tcPr>
            <w:tcW w:w="1985" w:type="dxa"/>
            <w:tcBorders>
              <w:top w:val="nil"/>
              <w:left w:val="single" w:sz="4" w:space="0" w:color="auto"/>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Grand Total</w:t>
            </w:r>
          </w:p>
        </w:tc>
        <w:tc>
          <w:tcPr>
            <w:tcW w:w="1080"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165,058 </w:t>
            </w:r>
          </w:p>
        </w:tc>
        <w:tc>
          <w:tcPr>
            <w:tcW w:w="900"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169,515 </w:t>
            </w:r>
          </w:p>
        </w:tc>
        <w:tc>
          <w:tcPr>
            <w:tcW w:w="990"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b/>
                <w:bCs/>
                <w:color w:val="000000"/>
                <w:sz w:val="20"/>
                <w:szCs w:val="20"/>
              </w:rPr>
            </w:pPr>
            <w:r w:rsidRPr="00517CDA">
              <w:rPr>
                <w:rFonts w:eastAsia="Times New Roman" w:cs="Arial"/>
                <w:b/>
                <w:bCs/>
                <w:color w:val="000000"/>
                <w:sz w:val="20"/>
                <w:szCs w:val="20"/>
              </w:rPr>
              <w:t xml:space="preserve">178,669 </w:t>
            </w:r>
          </w:p>
        </w:tc>
        <w:tc>
          <w:tcPr>
            <w:tcW w:w="272"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 </w:t>
            </w:r>
          </w:p>
        </w:tc>
        <w:tc>
          <w:tcPr>
            <w:tcW w:w="852"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 </w:t>
            </w:r>
          </w:p>
        </w:tc>
        <w:tc>
          <w:tcPr>
            <w:tcW w:w="1080"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 </w:t>
            </w:r>
          </w:p>
        </w:tc>
        <w:tc>
          <w:tcPr>
            <w:tcW w:w="1080" w:type="dxa"/>
            <w:tcBorders>
              <w:top w:val="nil"/>
              <w:left w:val="nil"/>
              <w:bottom w:val="nil"/>
              <w:right w:val="single" w:sz="4" w:space="0" w:color="auto"/>
            </w:tcBorders>
            <w:shd w:val="clear" w:color="000000" w:fill="D9D9D9"/>
            <w:noWrap/>
            <w:vAlign w:val="bottom"/>
            <w:hideMark/>
          </w:tcPr>
          <w:p w:rsidR="00517CDA" w:rsidRPr="00517CDA" w:rsidRDefault="00517CDA" w:rsidP="00517CDA">
            <w:pPr>
              <w:spacing w:before="0" w:after="0" w:line="240" w:lineRule="auto"/>
              <w:rPr>
                <w:rFonts w:eastAsia="Times New Roman" w:cs="Arial"/>
                <w:b/>
                <w:bCs/>
                <w:color w:val="000000"/>
                <w:sz w:val="20"/>
                <w:szCs w:val="20"/>
              </w:rPr>
            </w:pPr>
            <w:r w:rsidRPr="00517CDA">
              <w:rPr>
                <w:rFonts w:eastAsia="Times New Roman" w:cs="Arial"/>
                <w:b/>
                <w:bCs/>
                <w:color w:val="000000"/>
                <w:sz w:val="20"/>
                <w:szCs w:val="20"/>
              </w:rPr>
              <w:t> </w:t>
            </w:r>
          </w:p>
        </w:tc>
      </w:tr>
      <w:tr w:rsidR="00517CDA" w:rsidRPr="00517CDA" w:rsidTr="00517CDA">
        <w:trPr>
          <w:trHeight w:val="255"/>
        </w:trPr>
        <w:tc>
          <w:tcPr>
            <w:tcW w:w="1985" w:type="dxa"/>
            <w:tcBorders>
              <w:top w:val="nil"/>
              <w:left w:val="single" w:sz="4" w:space="0" w:color="auto"/>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Growth</w:t>
            </w:r>
          </w:p>
        </w:tc>
        <w:tc>
          <w:tcPr>
            <w:tcW w:w="1080"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4.0%</w:t>
            </w:r>
          </w:p>
        </w:tc>
        <w:tc>
          <w:tcPr>
            <w:tcW w:w="900"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2.7%</w:t>
            </w:r>
          </w:p>
        </w:tc>
        <w:tc>
          <w:tcPr>
            <w:tcW w:w="990"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jc w:val="right"/>
              <w:rPr>
                <w:rFonts w:eastAsia="Times New Roman" w:cs="Arial"/>
                <w:color w:val="000000"/>
                <w:sz w:val="20"/>
                <w:szCs w:val="20"/>
              </w:rPr>
            </w:pPr>
            <w:r w:rsidRPr="00517CDA">
              <w:rPr>
                <w:rFonts w:eastAsia="Times New Roman" w:cs="Arial"/>
                <w:color w:val="000000"/>
                <w:sz w:val="20"/>
                <w:szCs w:val="20"/>
              </w:rPr>
              <w:t>5.4%</w:t>
            </w:r>
          </w:p>
        </w:tc>
        <w:tc>
          <w:tcPr>
            <w:tcW w:w="272"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852"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nil"/>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nil"/>
              <w:right w:val="single" w:sz="4" w:space="0" w:color="auto"/>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r>
      <w:tr w:rsidR="00517CDA" w:rsidRPr="00517CDA" w:rsidTr="00517CDA">
        <w:trPr>
          <w:trHeight w:val="120"/>
        </w:trPr>
        <w:tc>
          <w:tcPr>
            <w:tcW w:w="1985" w:type="dxa"/>
            <w:tcBorders>
              <w:top w:val="nil"/>
              <w:left w:val="single" w:sz="4" w:space="0" w:color="auto"/>
              <w:bottom w:val="single" w:sz="4" w:space="0" w:color="auto"/>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auto"/>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00" w:type="dxa"/>
            <w:tcBorders>
              <w:top w:val="nil"/>
              <w:left w:val="nil"/>
              <w:bottom w:val="single" w:sz="4" w:space="0" w:color="auto"/>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990" w:type="dxa"/>
            <w:tcBorders>
              <w:top w:val="nil"/>
              <w:left w:val="nil"/>
              <w:bottom w:val="single" w:sz="4" w:space="0" w:color="auto"/>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272" w:type="dxa"/>
            <w:tcBorders>
              <w:top w:val="nil"/>
              <w:left w:val="nil"/>
              <w:bottom w:val="single" w:sz="4" w:space="0" w:color="auto"/>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708" w:type="dxa"/>
            <w:tcBorders>
              <w:top w:val="nil"/>
              <w:left w:val="nil"/>
              <w:bottom w:val="single" w:sz="4" w:space="0" w:color="auto"/>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852" w:type="dxa"/>
            <w:tcBorders>
              <w:top w:val="nil"/>
              <w:left w:val="nil"/>
              <w:bottom w:val="single" w:sz="4" w:space="0" w:color="auto"/>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auto"/>
              <w:right w:val="nil"/>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517CDA" w:rsidRPr="00517CDA" w:rsidRDefault="00517CDA" w:rsidP="00517CDA">
            <w:pPr>
              <w:spacing w:before="0" w:after="0" w:line="240" w:lineRule="auto"/>
              <w:rPr>
                <w:rFonts w:eastAsia="Times New Roman" w:cs="Arial"/>
                <w:color w:val="000000"/>
                <w:sz w:val="20"/>
                <w:szCs w:val="20"/>
              </w:rPr>
            </w:pPr>
            <w:r w:rsidRPr="00517CDA">
              <w:rPr>
                <w:rFonts w:eastAsia="Times New Roman" w:cs="Arial"/>
                <w:color w:val="000000"/>
                <w:sz w:val="20"/>
                <w:szCs w:val="20"/>
              </w:rPr>
              <w:t> </w:t>
            </w:r>
          </w:p>
        </w:tc>
      </w:tr>
    </w:tbl>
    <w:p w:rsidR="00517CDA" w:rsidRPr="001768CD" w:rsidRDefault="00517CDA" w:rsidP="00517CDA">
      <w:pPr>
        <w:rPr>
          <w:rFonts w:asciiTheme="majorHAnsi" w:hAnsiTheme="majorHAnsi"/>
          <w:sz w:val="20"/>
        </w:rPr>
      </w:pPr>
      <w:r w:rsidRPr="001768CD">
        <w:rPr>
          <w:rFonts w:asciiTheme="majorHAnsi" w:hAnsiTheme="majorHAnsi"/>
          <w:sz w:val="20"/>
        </w:rPr>
        <w:t>Source: MAGNA GLOBAL, December 2014</w:t>
      </w:r>
    </w:p>
    <w:p w:rsidR="00517CDA" w:rsidRPr="001768CD" w:rsidRDefault="00517CDA" w:rsidP="00517CDA">
      <w:pPr>
        <w:rPr>
          <w:rFonts w:asciiTheme="majorHAnsi" w:hAnsiTheme="majorHAnsi"/>
          <w:sz w:val="14"/>
        </w:rPr>
      </w:pPr>
      <w:r>
        <w:rPr>
          <w:rFonts w:asciiTheme="majorHAnsi" w:hAnsiTheme="majorHAnsi"/>
          <w:sz w:val="14"/>
        </w:rPr>
        <w:t>*</w:t>
      </w:r>
      <w:r w:rsidRPr="001768CD">
        <w:rPr>
          <w:rFonts w:asciiTheme="majorHAnsi" w:hAnsiTheme="majorHAnsi"/>
          <w:sz w:val="14"/>
        </w:rPr>
        <w:t>Includes desktop-based and mobile-based advertising.</w:t>
      </w:r>
    </w:p>
    <w:p w:rsidR="00517CDA" w:rsidRDefault="00517CDA" w:rsidP="00517CDA">
      <w:pPr>
        <w:rPr>
          <w:rFonts w:asciiTheme="majorHAnsi" w:hAnsiTheme="majorHAnsi"/>
          <w:sz w:val="14"/>
        </w:rPr>
      </w:pPr>
      <w:r w:rsidRPr="001768CD">
        <w:rPr>
          <w:rFonts w:asciiTheme="majorHAnsi" w:hAnsiTheme="majorHAnsi"/>
          <w:sz w:val="14"/>
        </w:rPr>
        <w:t>*</w:t>
      </w:r>
      <w:r>
        <w:rPr>
          <w:rFonts w:asciiTheme="majorHAnsi" w:hAnsiTheme="majorHAnsi"/>
          <w:sz w:val="14"/>
        </w:rPr>
        <w:t>*</w:t>
      </w:r>
      <w:r w:rsidRPr="001768CD">
        <w:rPr>
          <w:rFonts w:asciiTheme="majorHAnsi" w:hAnsiTheme="majorHAnsi"/>
          <w:sz w:val="14"/>
        </w:rPr>
        <w:t>Digital advertising spend on tablets and smartphones, across all formats (search, display, video, social).</w:t>
      </w:r>
    </w:p>
    <w:p w:rsidR="00612430" w:rsidRDefault="00612430" w:rsidP="00F114BF">
      <w:pPr>
        <w:pStyle w:val="Heading2"/>
      </w:pPr>
      <w:r>
        <w:lastRenderedPageBreak/>
        <w:t xml:space="preserve">Figure </w:t>
      </w:r>
      <w:r w:rsidR="005A1670">
        <w:t>3</w:t>
      </w:r>
      <w:r>
        <w:t>: Global Advertising Revenues (1999-2019) ($bn)</w:t>
      </w:r>
    </w:p>
    <w:p w:rsidR="00206093" w:rsidRDefault="00612430">
      <w:r>
        <w:rPr>
          <w:noProof/>
          <w:lang w:val="en-SG" w:eastAsia="en-SG"/>
        </w:rPr>
        <w:drawing>
          <wp:inline distT="0" distB="0" distL="0" distR="0" wp14:anchorId="31C389B9">
            <wp:extent cx="6163056" cy="3200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3056" cy="3200400"/>
                    </a:xfrm>
                    <a:prstGeom prst="rect">
                      <a:avLst/>
                    </a:prstGeom>
                    <a:noFill/>
                  </pic:spPr>
                </pic:pic>
              </a:graphicData>
            </a:graphic>
          </wp:inline>
        </w:drawing>
      </w:r>
    </w:p>
    <w:p w:rsidR="00F114BF" w:rsidRDefault="00F114BF" w:rsidP="00F114BF">
      <w:pPr>
        <w:pStyle w:val="Heading2"/>
      </w:pPr>
      <w:r>
        <w:t xml:space="preserve">Figure </w:t>
      </w:r>
      <w:r w:rsidR="005A1670">
        <w:t>4</w:t>
      </w:r>
      <w:r>
        <w:t>: Advertising Revenue Growth (2014-2015) by Geography</w:t>
      </w:r>
    </w:p>
    <w:p w:rsidR="00F114BF" w:rsidRDefault="00F114BF" w:rsidP="00F114BF">
      <w:r>
        <w:rPr>
          <w:noProof/>
          <w:lang w:val="en-SG" w:eastAsia="en-SG"/>
        </w:rPr>
        <w:drawing>
          <wp:inline distT="0" distB="0" distL="0" distR="0" wp14:anchorId="6569D4B5" wp14:editId="28121D70">
            <wp:extent cx="5998464" cy="2980944"/>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464" cy="2980944"/>
                    </a:xfrm>
                    <a:prstGeom prst="rect">
                      <a:avLst/>
                    </a:prstGeom>
                    <a:noFill/>
                  </pic:spPr>
                </pic:pic>
              </a:graphicData>
            </a:graphic>
          </wp:inline>
        </w:drawing>
      </w:r>
    </w:p>
    <w:p w:rsidR="006A6C57" w:rsidRDefault="006A6C57" w:rsidP="005A1670">
      <w:pPr>
        <w:pStyle w:val="Heading2"/>
      </w:pPr>
      <w:r>
        <w:lastRenderedPageBreak/>
        <w:t xml:space="preserve">Figure </w:t>
      </w:r>
      <w:r w:rsidR="005A1670">
        <w:t>5</w:t>
      </w:r>
      <w:r>
        <w:t>: Dollar Contributions to Global Advertising Growth (2014, $bn)</w:t>
      </w:r>
      <w:r>
        <w:rPr>
          <w:noProof/>
          <w:lang w:val="en-SG" w:eastAsia="en-SG"/>
        </w:rPr>
        <w:drawing>
          <wp:inline distT="0" distB="0" distL="0" distR="0" wp14:anchorId="5F507CE8" wp14:editId="2DD4AC85">
            <wp:extent cx="5715000" cy="26883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688336"/>
                    </a:xfrm>
                    <a:prstGeom prst="rect">
                      <a:avLst/>
                    </a:prstGeom>
                    <a:noFill/>
                  </pic:spPr>
                </pic:pic>
              </a:graphicData>
            </a:graphic>
          </wp:inline>
        </w:drawing>
      </w:r>
    </w:p>
    <w:p w:rsidR="00F0459C" w:rsidRDefault="00F0459C" w:rsidP="005A1670">
      <w:pPr>
        <w:pStyle w:val="Heading2"/>
      </w:pPr>
    </w:p>
    <w:p w:rsidR="00996EAD" w:rsidRDefault="00996EAD" w:rsidP="005A1670">
      <w:pPr>
        <w:pStyle w:val="Heading2"/>
      </w:pPr>
      <w:r>
        <w:t>Figure</w:t>
      </w:r>
      <w:r w:rsidR="0032238E">
        <w:t xml:space="preserve"> </w:t>
      </w:r>
      <w:r w:rsidR="005A1670">
        <w:t>6</w:t>
      </w:r>
      <w:r w:rsidR="0032238E">
        <w:t xml:space="preserve">: </w:t>
      </w:r>
      <w:r w:rsidR="005A1670">
        <w:t>Where and When Digital Becomes the #1 M</w:t>
      </w:r>
      <w:r w:rsidR="0032238E">
        <w:t xml:space="preserve">edia </w:t>
      </w:r>
      <w:r w:rsidR="005A1670">
        <w:t>C</w:t>
      </w:r>
      <w:r w:rsidR="0032238E">
        <w:t>ategory</w:t>
      </w:r>
    </w:p>
    <w:tbl>
      <w:tblPr>
        <w:tblStyle w:val="LightList-Accent1"/>
        <w:tblW w:w="8928" w:type="dxa"/>
        <w:tblLayout w:type="fixed"/>
        <w:tblLook w:val="04A0" w:firstRow="1" w:lastRow="0" w:firstColumn="1" w:lastColumn="0" w:noHBand="0" w:noVBand="1"/>
      </w:tblPr>
      <w:tblGrid>
        <w:gridCol w:w="1785"/>
        <w:gridCol w:w="1786"/>
        <w:gridCol w:w="1785"/>
        <w:gridCol w:w="1786"/>
        <w:gridCol w:w="1786"/>
      </w:tblGrid>
      <w:tr w:rsidR="0032238E" w:rsidRPr="0032238E" w:rsidTr="006A6C5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5" w:type="dxa"/>
            <w:noWrap/>
            <w:hideMark/>
          </w:tcPr>
          <w:p w:rsidR="0032238E" w:rsidRPr="0032238E" w:rsidRDefault="0032238E" w:rsidP="005A1670">
            <w:pPr>
              <w:jc w:val="center"/>
              <w:rPr>
                <w:rFonts w:eastAsia="Times New Roman" w:cs="Arial"/>
                <w:sz w:val="20"/>
                <w:szCs w:val="20"/>
              </w:rPr>
            </w:pPr>
            <w:r w:rsidRPr="0032238E">
              <w:rPr>
                <w:rFonts w:eastAsia="Times New Roman" w:cs="Arial"/>
                <w:sz w:val="20"/>
                <w:szCs w:val="20"/>
              </w:rPr>
              <w:t>2013</w:t>
            </w:r>
          </w:p>
        </w:tc>
        <w:tc>
          <w:tcPr>
            <w:tcW w:w="1786" w:type="dxa"/>
            <w:noWrap/>
            <w:hideMark/>
          </w:tcPr>
          <w:p w:rsidR="0032238E" w:rsidRPr="0032238E" w:rsidRDefault="0032238E" w:rsidP="005A167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32238E">
              <w:rPr>
                <w:rFonts w:eastAsia="Times New Roman" w:cs="Arial"/>
                <w:sz w:val="20"/>
                <w:szCs w:val="20"/>
              </w:rPr>
              <w:t>2014</w:t>
            </w:r>
          </w:p>
        </w:tc>
        <w:tc>
          <w:tcPr>
            <w:tcW w:w="1785" w:type="dxa"/>
            <w:noWrap/>
            <w:hideMark/>
          </w:tcPr>
          <w:p w:rsidR="0032238E" w:rsidRPr="0032238E" w:rsidRDefault="0032238E" w:rsidP="005A167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32238E">
              <w:rPr>
                <w:rFonts w:eastAsia="Times New Roman" w:cs="Arial"/>
                <w:sz w:val="20"/>
                <w:szCs w:val="20"/>
              </w:rPr>
              <w:t>2015</w:t>
            </w:r>
          </w:p>
        </w:tc>
        <w:tc>
          <w:tcPr>
            <w:tcW w:w="1786" w:type="dxa"/>
            <w:noWrap/>
            <w:hideMark/>
          </w:tcPr>
          <w:p w:rsidR="0032238E" w:rsidRPr="0032238E" w:rsidRDefault="0032238E" w:rsidP="005A167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32238E">
              <w:rPr>
                <w:rFonts w:eastAsia="Times New Roman" w:cs="Arial"/>
                <w:sz w:val="20"/>
                <w:szCs w:val="20"/>
              </w:rPr>
              <w:t>2016</w:t>
            </w:r>
          </w:p>
        </w:tc>
        <w:tc>
          <w:tcPr>
            <w:tcW w:w="1786" w:type="dxa"/>
            <w:noWrap/>
            <w:hideMark/>
          </w:tcPr>
          <w:p w:rsidR="0032238E" w:rsidRPr="0032238E" w:rsidRDefault="0032238E" w:rsidP="005A167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32238E">
              <w:rPr>
                <w:rFonts w:eastAsia="Times New Roman" w:cs="Arial"/>
                <w:sz w:val="20"/>
                <w:szCs w:val="20"/>
              </w:rPr>
              <w:t>2017</w:t>
            </w:r>
          </w:p>
        </w:tc>
      </w:tr>
      <w:tr w:rsidR="0032238E" w:rsidRPr="0032238E" w:rsidTr="006A6C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5" w:type="dxa"/>
            <w:noWrap/>
            <w:hideMark/>
          </w:tcPr>
          <w:p w:rsidR="0032238E" w:rsidRPr="0032238E" w:rsidRDefault="0032238E" w:rsidP="005A1670">
            <w:pPr>
              <w:jc w:val="center"/>
              <w:rPr>
                <w:rFonts w:eastAsia="Times New Roman" w:cs="Arial"/>
                <w:color w:val="000000"/>
                <w:sz w:val="20"/>
                <w:szCs w:val="20"/>
              </w:rPr>
            </w:pPr>
            <w:r w:rsidRPr="0032238E">
              <w:rPr>
                <w:rFonts w:eastAsia="Times New Roman" w:cs="Arial"/>
                <w:color w:val="000000"/>
                <w:sz w:val="20"/>
                <w:szCs w:val="20"/>
              </w:rPr>
              <w:t>9</w:t>
            </w:r>
            <w:r w:rsidR="006A6C57">
              <w:rPr>
                <w:rFonts w:eastAsia="Times New Roman" w:cs="Arial"/>
                <w:color w:val="000000"/>
                <w:sz w:val="20"/>
                <w:szCs w:val="20"/>
              </w:rPr>
              <w:t xml:space="preserve"> countries</w:t>
            </w: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32238E">
              <w:rPr>
                <w:rFonts w:eastAsia="Times New Roman" w:cs="Arial"/>
                <w:b/>
                <w:color w:val="000000"/>
                <w:sz w:val="20"/>
                <w:szCs w:val="20"/>
              </w:rPr>
              <w:t>14</w:t>
            </w:r>
            <w:r w:rsidR="006A6C57">
              <w:rPr>
                <w:rFonts w:eastAsia="Times New Roman" w:cs="Arial"/>
                <w:b/>
                <w:color w:val="000000"/>
                <w:sz w:val="20"/>
                <w:szCs w:val="20"/>
              </w:rPr>
              <w:t xml:space="preserve"> countries</w:t>
            </w:r>
          </w:p>
        </w:tc>
        <w:tc>
          <w:tcPr>
            <w:tcW w:w="1785"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32238E">
              <w:rPr>
                <w:rFonts w:eastAsia="Times New Roman" w:cs="Arial"/>
                <w:b/>
                <w:color w:val="000000"/>
                <w:sz w:val="20"/>
                <w:szCs w:val="20"/>
              </w:rPr>
              <w:t>16</w:t>
            </w:r>
            <w:r w:rsidR="006A6C57">
              <w:rPr>
                <w:rFonts w:eastAsia="Times New Roman" w:cs="Arial"/>
                <w:b/>
                <w:color w:val="000000"/>
                <w:sz w:val="20"/>
                <w:szCs w:val="20"/>
              </w:rPr>
              <w:t xml:space="preserve"> countries</w:t>
            </w: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32238E">
              <w:rPr>
                <w:rFonts w:eastAsia="Times New Roman" w:cs="Arial"/>
                <w:b/>
                <w:color w:val="000000"/>
                <w:sz w:val="20"/>
                <w:szCs w:val="20"/>
              </w:rPr>
              <w:t>20</w:t>
            </w:r>
            <w:r w:rsidR="006A6C57">
              <w:rPr>
                <w:rFonts w:eastAsia="Times New Roman" w:cs="Arial"/>
                <w:b/>
                <w:color w:val="000000"/>
                <w:sz w:val="20"/>
                <w:szCs w:val="20"/>
              </w:rPr>
              <w:t xml:space="preserve"> countries</w:t>
            </w: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32238E">
              <w:rPr>
                <w:rFonts w:eastAsia="Times New Roman" w:cs="Arial"/>
                <w:b/>
                <w:color w:val="000000"/>
                <w:sz w:val="20"/>
                <w:szCs w:val="20"/>
              </w:rPr>
              <w:t>23</w:t>
            </w:r>
            <w:r w:rsidR="006A6C57">
              <w:rPr>
                <w:rFonts w:eastAsia="Times New Roman" w:cs="Arial"/>
                <w:b/>
                <w:color w:val="000000"/>
                <w:sz w:val="20"/>
                <w:szCs w:val="20"/>
              </w:rPr>
              <w:t xml:space="preserve"> countries</w:t>
            </w:r>
          </w:p>
        </w:tc>
      </w:tr>
      <w:tr w:rsidR="0032238E" w:rsidRPr="0032238E" w:rsidTr="006A6C57">
        <w:trPr>
          <w:trHeight w:val="255"/>
        </w:trPr>
        <w:tc>
          <w:tcPr>
            <w:cnfStyle w:val="001000000000" w:firstRow="0" w:lastRow="0" w:firstColumn="1" w:lastColumn="0" w:oddVBand="0" w:evenVBand="0" w:oddHBand="0" w:evenHBand="0" w:firstRowFirstColumn="0" w:firstRowLastColumn="0" w:lastRowFirstColumn="0" w:lastRowLastColumn="0"/>
            <w:tcW w:w="1785" w:type="dxa"/>
            <w:noWrap/>
            <w:hideMark/>
          </w:tcPr>
          <w:p w:rsidR="0032238E" w:rsidRPr="0032238E" w:rsidRDefault="0032238E" w:rsidP="005A1670">
            <w:pPr>
              <w:jc w:val="center"/>
              <w:rPr>
                <w:rFonts w:eastAsia="Times New Roman" w:cs="Arial"/>
                <w:b w:val="0"/>
                <w:color w:val="000000"/>
                <w:sz w:val="20"/>
                <w:szCs w:val="20"/>
              </w:rPr>
            </w:pPr>
            <w:r w:rsidRPr="0032238E">
              <w:rPr>
                <w:rFonts w:eastAsia="Times New Roman" w:cs="Arial"/>
                <w:b w:val="0"/>
                <w:color w:val="000000"/>
                <w:sz w:val="20"/>
                <w:szCs w:val="20"/>
              </w:rPr>
              <w:t>Canada</w:t>
            </w: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rPr>
            </w:pPr>
            <w:r w:rsidRPr="0032238E">
              <w:rPr>
                <w:rFonts w:eastAsia="Times New Roman" w:cs="Arial"/>
                <w:i/>
                <w:color w:val="000000"/>
                <w:sz w:val="20"/>
                <w:szCs w:val="20"/>
              </w:rPr>
              <w:t>…same plus</w:t>
            </w:r>
            <w:proofErr w:type="gramStart"/>
            <w:r w:rsidRPr="0032238E">
              <w:rPr>
                <w:rFonts w:eastAsia="Times New Roman" w:cs="Arial"/>
                <w:i/>
                <w:color w:val="000000"/>
                <w:sz w:val="20"/>
                <w:szCs w:val="20"/>
              </w:rPr>
              <w:t>..</w:t>
            </w:r>
            <w:proofErr w:type="gramEnd"/>
          </w:p>
        </w:tc>
        <w:tc>
          <w:tcPr>
            <w:tcW w:w="1785"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France</w:t>
            </w: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Bahrain</w:t>
            </w: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New Zealand</w:t>
            </w:r>
          </w:p>
        </w:tc>
      </w:tr>
      <w:tr w:rsidR="0032238E" w:rsidRPr="0032238E" w:rsidTr="006A6C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5" w:type="dxa"/>
            <w:noWrap/>
            <w:hideMark/>
          </w:tcPr>
          <w:p w:rsidR="0032238E" w:rsidRPr="0032238E" w:rsidRDefault="0032238E" w:rsidP="005A1670">
            <w:pPr>
              <w:jc w:val="center"/>
              <w:rPr>
                <w:rFonts w:eastAsia="Times New Roman" w:cs="Arial"/>
                <w:b w:val="0"/>
                <w:color w:val="000000"/>
                <w:sz w:val="20"/>
                <w:szCs w:val="20"/>
              </w:rPr>
            </w:pPr>
            <w:r w:rsidRPr="0032238E">
              <w:rPr>
                <w:rFonts w:eastAsia="Times New Roman" w:cs="Arial"/>
                <w:b w:val="0"/>
                <w:color w:val="000000"/>
                <w:sz w:val="20"/>
                <w:szCs w:val="20"/>
              </w:rPr>
              <w:t>Czech Republic</w:t>
            </w: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Australia</w:t>
            </w:r>
          </w:p>
        </w:tc>
        <w:tc>
          <w:tcPr>
            <w:tcW w:w="1785"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UAE</w:t>
            </w: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Poland</w:t>
            </w: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Qatar</w:t>
            </w:r>
          </w:p>
        </w:tc>
      </w:tr>
      <w:tr w:rsidR="0032238E" w:rsidRPr="0032238E" w:rsidTr="006A6C57">
        <w:trPr>
          <w:trHeight w:val="255"/>
        </w:trPr>
        <w:tc>
          <w:tcPr>
            <w:cnfStyle w:val="001000000000" w:firstRow="0" w:lastRow="0" w:firstColumn="1" w:lastColumn="0" w:oddVBand="0" w:evenVBand="0" w:oddHBand="0" w:evenHBand="0" w:firstRowFirstColumn="0" w:firstRowLastColumn="0" w:lastRowFirstColumn="0" w:lastRowLastColumn="0"/>
            <w:tcW w:w="1785" w:type="dxa"/>
            <w:noWrap/>
            <w:hideMark/>
          </w:tcPr>
          <w:p w:rsidR="0032238E" w:rsidRPr="0032238E" w:rsidRDefault="0032238E" w:rsidP="005A1670">
            <w:pPr>
              <w:jc w:val="center"/>
              <w:rPr>
                <w:rFonts w:eastAsia="Times New Roman" w:cs="Arial"/>
                <w:b w:val="0"/>
                <w:color w:val="000000"/>
                <w:sz w:val="20"/>
                <w:szCs w:val="20"/>
              </w:rPr>
            </w:pPr>
            <w:r w:rsidRPr="0032238E">
              <w:rPr>
                <w:rFonts w:eastAsia="Times New Roman" w:cs="Arial"/>
                <w:b w:val="0"/>
                <w:color w:val="000000"/>
                <w:sz w:val="20"/>
                <w:szCs w:val="20"/>
              </w:rPr>
              <w:t>Denmark</w:t>
            </w: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China</w:t>
            </w:r>
          </w:p>
        </w:tc>
        <w:tc>
          <w:tcPr>
            <w:tcW w:w="1785"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South Korea</w:t>
            </w: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rPr>
            </w:pPr>
            <w:r w:rsidRPr="0032238E">
              <w:rPr>
                <w:rFonts w:eastAsia="Times New Roman" w:cs="Arial"/>
                <w:b/>
                <w:bCs/>
                <w:color w:val="000000"/>
                <w:sz w:val="20"/>
                <w:szCs w:val="20"/>
              </w:rPr>
              <w:t>United States</w:t>
            </w:r>
          </w:p>
        </w:tc>
      </w:tr>
      <w:tr w:rsidR="0032238E" w:rsidRPr="0032238E" w:rsidTr="006A6C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5" w:type="dxa"/>
            <w:noWrap/>
            <w:hideMark/>
          </w:tcPr>
          <w:p w:rsidR="0032238E" w:rsidRPr="0032238E" w:rsidRDefault="0032238E" w:rsidP="005A1670">
            <w:pPr>
              <w:jc w:val="center"/>
              <w:rPr>
                <w:rFonts w:eastAsia="Times New Roman" w:cs="Arial"/>
                <w:b w:val="0"/>
                <w:color w:val="000000"/>
                <w:sz w:val="20"/>
                <w:szCs w:val="20"/>
              </w:rPr>
            </w:pPr>
            <w:r w:rsidRPr="0032238E">
              <w:rPr>
                <w:rFonts w:eastAsia="Times New Roman" w:cs="Arial"/>
                <w:b w:val="0"/>
                <w:color w:val="000000"/>
                <w:sz w:val="20"/>
                <w:szCs w:val="20"/>
              </w:rPr>
              <w:t>Estonia</w:t>
            </w: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Finland</w:t>
            </w:r>
          </w:p>
        </w:tc>
        <w:tc>
          <w:tcPr>
            <w:tcW w:w="1785"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Switzerland</w:t>
            </w: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32238E" w:rsidRPr="0032238E" w:rsidTr="006A6C57">
        <w:trPr>
          <w:trHeight w:val="255"/>
        </w:trPr>
        <w:tc>
          <w:tcPr>
            <w:cnfStyle w:val="001000000000" w:firstRow="0" w:lastRow="0" w:firstColumn="1" w:lastColumn="0" w:oddVBand="0" w:evenVBand="0" w:oddHBand="0" w:evenHBand="0" w:firstRowFirstColumn="0" w:firstRowLastColumn="0" w:lastRowFirstColumn="0" w:lastRowLastColumn="0"/>
            <w:tcW w:w="1785" w:type="dxa"/>
            <w:noWrap/>
            <w:hideMark/>
          </w:tcPr>
          <w:p w:rsidR="0032238E" w:rsidRPr="0032238E" w:rsidRDefault="0032238E" w:rsidP="005A1670">
            <w:pPr>
              <w:jc w:val="center"/>
              <w:rPr>
                <w:rFonts w:eastAsia="Times New Roman" w:cs="Arial"/>
                <w:b w:val="0"/>
                <w:color w:val="000000"/>
                <w:sz w:val="20"/>
                <w:szCs w:val="20"/>
              </w:rPr>
            </w:pPr>
            <w:r w:rsidRPr="0032238E">
              <w:rPr>
                <w:rFonts w:eastAsia="Times New Roman" w:cs="Arial"/>
                <w:b w:val="0"/>
                <w:color w:val="000000"/>
                <w:sz w:val="20"/>
                <w:szCs w:val="20"/>
              </w:rPr>
              <w:t>Germany</w:t>
            </w: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Hungary</w:t>
            </w:r>
          </w:p>
        </w:tc>
        <w:tc>
          <w:tcPr>
            <w:tcW w:w="1785"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32238E" w:rsidRPr="0032238E" w:rsidTr="006A6C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5" w:type="dxa"/>
            <w:noWrap/>
            <w:hideMark/>
          </w:tcPr>
          <w:p w:rsidR="0032238E" w:rsidRPr="0032238E" w:rsidRDefault="0032238E" w:rsidP="005A1670">
            <w:pPr>
              <w:jc w:val="center"/>
              <w:rPr>
                <w:rFonts w:eastAsia="Times New Roman" w:cs="Arial"/>
                <w:b w:val="0"/>
                <w:color w:val="000000"/>
                <w:sz w:val="20"/>
                <w:szCs w:val="20"/>
              </w:rPr>
            </w:pPr>
            <w:r w:rsidRPr="0032238E">
              <w:rPr>
                <w:rFonts w:eastAsia="Times New Roman" w:cs="Arial"/>
                <w:b w:val="0"/>
                <w:color w:val="000000"/>
                <w:sz w:val="20"/>
                <w:szCs w:val="20"/>
              </w:rPr>
              <w:t>Netherlands</w:t>
            </w: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2238E">
              <w:rPr>
                <w:rFonts w:eastAsia="Times New Roman" w:cs="Arial"/>
                <w:color w:val="000000"/>
                <w:sz w:val="20"/>
                <w:szCs w:val="20"/>
              </w:rPr>
              <w:t>Ireland</w:t>
            </w:r>
          </w:p>
        </w:tc>
        <w:tc>
          <w:tcPr>
            <w:tcW w:w="1785"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32238E" w:rsidRPr="0032238E" w:rsidTr="006A6C57">
        <w:trPr>
          <w:trHeight w:val="255"/>
        </w:trPr>
        <w:tc>
          <w:tcPr>
            <w:cnfStyle w:val="001000000000" w:firstRow="0" w:lastRow="0" w:firstColumn="1" w:lastColumn="0" w:oddVBand="0" w:evenVBand="0" w:oddHBand="0" w:evenHBand="0" w:firstRowFirstColumn="0" w:firstRowLastColumn="0" w:lastRowFirstColumn="0" w:lastRowLastColumn="0"/>
            <w:tcW w:w="1785" w:type="dxa"/>
            <w:noWrap/>
            <w:hideMark/>
          </w:tcPr>
          <w:p w:rsidR="0032238E" w:rsidRPr="0032238E" w:rsidRDefault="0032238E" w:rsidP="005A1670">
            <w:pPr>
              <w:jc w:val="center"/>
              <w:rPr>
                <w:rFonts w:eastAsia="Times New Roman" w:cs="Arial"/>
                <w:b w:val="0"/>
                <w:color w:val="000000"/>
                <w:sz w:val="20"/>
                <w:szCs w:val="20"/>
              </w:rPr>
            </w:pPr>
            <w:r w:rsidRPr="0032238E">
              <w:rPr>
                <w:rFonts w:eastAsia="Times New Roman" w:cs="Arial"/>
                <w:b w:val="0"/>
                <w:color w:val="000000"/>
                <w:sz w:val="20"/>
                <w:szCs w:val="20"/>
              </w:rPr>
              <w:t>Norway</w:t>
            </w: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785"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32238E" w:rsidRPr="0032238E" w:rsidTr="006A6C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5" w:type="dxa"/>
            <w:noWrap/>
            <w:hideMark/>
          </w:tcPr>
          <w:p w:rsidR="0032238E" w:rsidRPr="0032238E" w:rsidRDefault="0032238E" w:rsidP="005A1670">
            <w:pPr>
              <w:jc w:val="center"/>
              <w:rPr>
                <w:rFonts w:eastAsia="Times New Roman" w:cs="Arial"/>
                <w:b w:val="0"/>
                <w:color w:val="000000"/>
                <w:sz w:val="20"/>
                <w:szCs w:val="20"/>
              </w:rPr>
            </w:pPr>
            <w:r w:rsidRPr="0032238E">
              <w:rPr>
                <w:rFonts w:eastAsia="Times New Roman" w:cs="Arial"/>
                <w:b w:val="0"/>
                <w:color w:val="000000"/>
                <w:sz w:val="20"/>
                <w:szCs w:val="20"/>
              </w:rPr>
              <w:t>Sweden</w:t>
            </w: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785"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32238E" w:rsidRPr="0032238E" w:rsidTr="006A6C57">
        <w:trPr>
          <w:trHeight w:val="255"/>
        </w:trPr>
        <w:tc>
          <w:tcPr>
            <w:cnfStyle w:val="001000000000" w:firstRow="0" w:lastRow="0" w:firstColumn="1" w:lastColumn="0" w:oddVBand="0" w:evenVBand="0" w:oddHBand="0" w:evenHBand="0" w:firstRowFirstColumn="0" w:firstRowLastColumn="0" w:lastRowFirstColumn="0" w:lastRowLastColumn="0"/>
            <w:tcW w:w="1785" w:type="dxa"/>
            <w:noWrap/>
            <w:hideMark/>
          </w:tcPr>
          <w:p w:rsidR="0032238E" w:rsidRPr="0032238E" w:rsidRDefault="0032238E" w:rsidP="005A1670">
            <w:pPr>
              <w:jc w:val="center"/>
              <w:rPr>
                <w:rFonts w:eastAsia="Times New Roman" w:cs="Arial"/>
                <w:b w:val="0"/>
                <w:color w:val="000000"/>
                <w:sz w:val="20"/>
                <w:szCs w:val="20"/>
              </w:rPr>
            </w:pPr>
            <w:r w:rsidRPr="0032238E">
              <w:rPr>
                <w:rFonts w:eastAsia="Times New Roman" w:cs="Arial"/>
                <w:b w:val="0"/>
                <w:color w:val="000000"/>
                <w:sz w:val="20"/>
                <w:szCs w:val="20"/>
              </w:rPr>
              <w:t>United Kingdom</w:t>
            </w: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785"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786" w:type="dxa"/>
            <w:noWrap/>
            <w:hideMark/>
          </w:tcPr>
          <w:p w:rsidR="0032238E" w:rsidRPr="0032238E" w:rsidRDefault="0032238E" w:rsidP="005A16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bl>
    <w:p w:rsidR="00996EAD" w:rsidRDefault="00996EAD">
      <w:pPr>
        <w:rPr>
          <w:rFonts w:asciiTheme="majorHAnsi" w:eastAsiaTheme="majorEastAsia" w:hAnsiTheme="majorHAnsi" w:cstheme="majorBidi"/>
          <w:b/>
          <w:bCs/>
          <w:color w:val="365F91" w:themeColor="accent1" w:themeShade="BF"/>
          <w:sz w:val="28"/>
          <w:szCs w:val="28"/>
        </w:rPr>
      </w:pPr>
    </w:p>
    <w:p w:rsidR="00697880" w:rsidRPr="00697880" w:rsidRDefault="00697880" w:rsidP="00697880">
      <w:pPr>
        <w:pStyle w:val="Heading1"/>
        <w:rPr>
          <w:rFonts w:asciiTheme="minorHAnsi" w:eastAsiaTheme="minorHAnsi" w:hAnsiTheme="minorHAnsi" w:cstheme="minorBidi"/>
          <w:b w:val="0"/>
          <w:bCs w:val="0"/>
          <w:color w:val="auto"/>
          <w:sz w:val="22"/>
          <w:szCs w:val="22"/>
        </w:rPr>
      </w:pPr>
      <w:r w:rsidRPr="000E51A1">
        <w:lastRenderedPageBreak/>
        <w:t>About MAGNA GLOBAL Advertising Research</w:t>
      </w:r>
      <w:r w:rsidRPr="000E51A1">
        <w:br/>
      </w:r>
      <w:r w:rsidRPr="00697880">
        <w:rPr>
          <w:rFonts w:asciiTheme="minorHAnsi" w:eastAsiaTheme="minorHAnsi" w:hAnsiTheme="minorHAnsi" w:cstheme="minorBidi"/>
          <w:b w:val="0"/>
          <w:bCs w:val="0"/>
          <w:color w:val="auto"/>
          <w:sz w:val="22"/>
          <w:szCs w:val="22"/>
        </w:rPr>
        <w:t>For more than 60 years, MAGNA GLOBAL forecasts have been the industry’s leading source for measuring and forecasting advertising revenues. MAGNA GLOBAL forecasts media owners’ advertising revenues in the US and around the world through financial analyses of media companies’ public filings, government reports, trade association data and local market expertise. MAGNA GLOBAL’s new methodology was introduced to the industry in 2009 and has redefined measurement for the advertising-supported media economy, delivering unparalleled authority and accuracy.</w:t>
      </w:r>
    </w:p>
    <w:p w:rsidR="00697880" w:rsidRPr="000E51A1" w:rsidRDefault="00697880" w:rsidP="00697880">
      <w:pPr>
        <w:spacing w:after="240"/>
      </w:pPr>
      <w:r w:rsidRPr="000E51A1">
        <w:t xml:space="preserve">Our Global Media Suppliers Advertising Revenue Forecasts include television (pay and free), internet (search, display, </w:t>
      </w:r>
      <w:proofErr w:type="gramStart"/>
      <w:r w:rsidRPr="000E51A1">
        <w:t>video</w:t>
      </w:r>
      <w:proofErr w:type="gramEnd"/>
      <w:r w:rsidRPr="000E51A1">
        <w:t xml:space="preserve">, mobile), newspapers, magazines, radio, cinema and out-of-home (traditional and digital). Our report monitors media suppliers’ revenues in 73 markets, including all major countries, representing 95% of the world’s economy. Our forecasts are updated twice a year and available to our subscribers. Our US Advertising Revenue Forecast study includes detailed data for more than 40 categories of media on a quarterly basis from 1990 to </w:t>
      </w:r>
      <w:r>
        <w:t>2015</w:t>
      </w:r>
      <w:r w:rsidRPr="000E51A1">
        <w:t xml:space="preserve"> and on a</w:t>
      </w:r>
      <w:r>
        <w:t>n annual basis from 1980 to 2019</w:t>
      </w:r>
      <w:r w:rsidRPr="000E51A1">
        <w:t>, updated quarterly.</w:t>
      </w:r>
    </w:p>
    <w:p w:rsidR="00697880" w:rsidRDefault="00697880" w:rsidP="00697880">
      <w:r w:rsidRPr="000E51A1">
        <w:t>Please contact </w:t>
      </w:r>
      <w:hyperlink r:id="rId12" w:history="1">
        <w:r w:rsidRPr="000E51A1">
          <w:rPr>
            <w:rStyle w:val="Hyperlink"/>
            <w:color w:val="auto"/>
          </w:rPr>
          <w:t>vincent.letang@magnaglobal.com</w:t>
        </w:r>
      </w:hyperlink>
      <w:r w:rsidRPr="000E51A1">
        <w:t> for further details.</w:t>
      </w:r>
    </w:p>
    <w:p w:rsidR="00697880" w:rsidRPr="00697880" w:rsidRDefault="00697880" w:rsidP="00697880">
      <w:pPr>
        <w:rPr>
          <w:rStyle w:val="Heading1Char"/>
          <w:rFonts w:asciiTheme="minorHAnsi" w:eastAsiaTheme="minorHAnsi" w:hAnsiTheme="minorHAnsi" w:cstheme="minorBidi"/>
          <w:b w:val="0"/>
          <w:bCs w:val="0"/>
          <w:color w:val="auto"/>
          <w:sz w:val="22"/>
          <w:szCs w:val="22"/>
        </w:rPr>
      </w:pPr>
      <w:r w:rsidRPr="00697880">
        <w:rPr>
          <w:rStyle w:val="Heading1Char"/>
        </w:rPr>
        <w:t>About MAGNA GLOBAL</w:t>
      </w:r>
    </w:p>
    <w:p w:rsidR="00697880" w:rsidRPr="000E51A1" w:rsidRDefault="00697880" w:rsidP="00697880">
      <w:pPr>
        <w:pStyle w:val="Heading1"/>
        <w:spacing w:before="120" w:after="120"/>
      </w:pPr>
      <w:r w:rsidRPr="00697880">
        <w:rPr>
          <w:rFonts w:asciiTheme="minorHAnsi" w:eastAsiaTheme="minorHAnsi" w:hAnsiTheme="minorHAnsi" w:cstheme="minorBidi"/>
          <w:b w:val="0"/>
          <w:bCs w:val="0"/>
          <w:color w:val="auto"/>
          <w:sz w:val="22"/>
          <w:szCs w:val="22"/>
        </w:rPr>
        <w:t>MAGNA GLOBAL is the strategic global media unit of IPG Mediabrands, comprised of two key divisions.</w:t>
      </w:r>
    </w:p>
    <w:p w:rsidR="00697880" w:rsidRDefault="00697880" w:rsidP="00697880">
      <w:r w:rsidRPr="000E51A1">
        <w:t>MAGNA GLOBAL Investment harnesses the aggregate power of all IPG media investments to create power and leverage in the market, drive savings and efficiencies, and ultimately make smarter, more effective media investm</w:t>
      </w:r>
      <w:r>
        <w:t>ents on behalf of our clients.</w:t>
      </w:r>
      <w:r>
        <w:br/>
      </w:r>
      <w:r w:rsidRPr="000E51A1">
        <w:t>With a stated goal of reaching 50% automated buying by 2016, the team in North America invests across digital, programmatic, broadcast and all traditional media platforms and is therefore considered the most comprehensive buying and negotiating unit in the media industry. The architects of the MAGNA Consortium – a powerful committee of executives from A&amp;E Networks, AOL, Cablevision, Clear Channel Media and Entertainment, ESPN and Tribune – MAGNA North America is also dedicated to shaping industry automation</w:t>
      </w:r>
      <w:r>
        <w:t xml:space="preserve"> and audience specific buying.</w:t>
      </w:r>
      <w:r>
        <w:br/>
      </w:r>
      <w:r w:rsidRPr="000E51A1">
        <w:t>MAGNA GLOBAL Intelligence has set the i</w:t>
      </w:r>
      <w:r>
        <w:t>ndustry standard for more than 6</w:t>
      </w:r>
      <w:r w:rsidRPr="000E51A1">
        <w:t xml:space="preserve">0 years by predicting the future of media value. MAGNA GLOBAL Intelligence produces more than 40 annual reports on audience </w:t>
      </w:r>
      <w:proofErr w:type="gramStart"/>
      <w:r w:rsidRPr="000E51A1">
        <w:t>trends,</w:t>
      </w:r>
      <w:proofErr w:type="gramEnd"/>
      <w:r w:rsidRPr="000E51A1">
        <w:t xml:space="preserve"> media spend and market</w:t>
      </w:r>
      <w:r>
        <w:t xml:space="preserve"> demand, and ad effectiveness.</w:t>
      </w:r>
    </w:p>
    <w:p w:rsidR="00697880" w:rsidRPr="00697880" w:rsidRDefault="00697880" w:rsidP="00697880">
      <w:r w:rsidRPr="000E51A1">
        <w:t>MAGNA GLOBAL has offices in 24 countries around the world. For more information, please visit </w:t>
      </w:r>
      <w:hyperlink r:id="rId13" w:history="1">
        <w:r w:rsidRPr="000E51A1">
          <w:rPr>
            <w:rStyle w:val="Hyperlink"/>
            <w:color w:val="auto"/>
          </w:rPr>
          <w:t>www.magnaglobal.com</w:t>
        </w:r>
      </w:hyperlink>
      <w:r w:rsidRPr="000E51A1">
        <w:t> or follow us </w:t>
      </w:r>
      <w:hyperlink r:id="rId14" w:history="1">
        <w:r w:rsidRPr="000E51A1">
          <w:rPr>
            <w:rStyle w:val="Hyperlink"/>
            <w:color w:val="auto"/>
          </w:rPr>
          <w:t>@MAGNAGLOBAL</w:t>
        </w:r>
      </w:hyperlink>
      <w:r w:rsidRPr="000E51A1">
        <w:rPr>
          <w:color w:val="FF0000"/>
        </w:rPr>
        <w:t>. </w:t>
      </w:r>
    </w:p>
    <w:p w:rsidR="00697880" w:rsidRPr="000E51A1" w:rsidRDefault="00697880" w:rsidP="00697880">
      <w:pPr>
        <w:pStyle w:val="Heading1"/>
      </w:pPr>
      <w:r w:rsidRPr="000E51A1">
        <w:lastRenderedPageBreak/>
        <w:t>About IPG Mediabrands</w:t>
      </w:r>
    </w:p>
    <w:p w:rsidR="00697880" w:rsidRDefault="00697880" w:rsidP="00697880">
      <w:r w:rsidRPr="000E51A1">
        <w:t>We were founded by </w:t>
      </w:r>
      <w:hyperlink r:id="rId15" w:history="1">
        <w:r w:rsidRPr="000E51A1">
          <w:rPr>
            <w:rStyle w:val="Hyperlink"/>
            <w:color w:val="auto"/>
          </w:rPr>
          <w:t>Interpublic Group</w:t>
        </w:r>
      </w:hyperlink>
      <w:r w:rsidRPr="000E51A1">
        <w:t> (NYSE: IPG) in 2007 to manage all of its global media related assets. Today that means we manage and invest $37 billion in global media on behalf of our clients, employ over 7,500 diverse and daring marketing communication specialists worldwide and operate our company businesses in more than 130 countries.</w:t>
      </w:r>
    </w:p>
    <w:p w:rsidR="00697880" w:rsidRPr="000E51A1" w:rsidRDefault="00697880" w:rsidP="00697880">
      <w:r w:rsidRPr="000E51A1">
        <w:t>A proven entity in helping clients maximize business results through integrated, intelligence-driven marketing strategies,  IPG Mediabrands is committed to driving automated buying, pay-for-performance and digital innovation solutions through its network of media agencies including </w:t>
      </w:r>
      <w:proofErr w:type="spellStart"/>
      <w:r w:rsidR="00C001C7">
        <w:fldChar w:fldCharType="begin"/>
      </w:r>
      <w:r w:rsidR="00C001C7">
        <w:instrText xml:space="preserve"> HYPERLINK "http://news.umww.com/" </w:instrText>
      </w:r>
      <w:r w:rsidR="00C001C7">
        <w:fldChar w:fldCharType="separate"/>
      </w:r>
      <w:r w:rsidRPr="000E51A1">
        <w:rPr>
          <w:rStyle w:val="Hyperlink"/>
          <w:color w:val="auto"/>
        </w:rPr>
        <w:t>UM</w:t>
      </w:r>
      <w:r w:rsidR="00C001C7">
        <w:rPr>
          <w:rStyle w:val="Hyperlink"/>
          <w:color w:val="auto"/>
        </w:rPr>
        <w:fldChar w:fldCharType="end"/>
      </w:r>
      <w:r w:rsidRPr="000E51A1">
        <w:t>,</w:t>
      </w:r>
      <w:hyperlink r:id="rId16" w:history="1">
        <w:r w:rsidRPr="000E51A1">
          <w:rPr>
            <w:rStyle w:val="Hyperlink"/>
            <w:color w:val="auto"/>
          </w:rPr>
          <w:t>Initiative</w:t>
        </w:r>
        <w:proofErr w:type="spellEnd"/>
      </w:hyperlink>
      <w:r w:rsidRPr="000E51A1">
        <w:t>, </w:t>
      </w:r>
      <w:hyperlink r:id="rId17" w:history="1">
        <w:r w:rsidRPr="000E51A1">
          <w:rPr>
            <w:rStyle w:val="Hyperlink"/>
            <w:color w:val="auto"/>
          </w:rPr>
          <w:t>BPN</w:t>
        </w:r>
      </w:hyperlink>
      <w:r w:rsidRPr="000E51A1">
        <w:t>, </w:t>
      </w:r>
      <w:hyperlink r:id="rId18" w:history="1">
        <w:r w:rsidRPr="000E51A1">
          <w:rPr>
            <w:rStyle w:val="Hyperlink"/>
            <w:color w:val="auto"/>
          </w:rPr>
          <w:t>Orion Holdings</w:t>
        </w:r>
      </w:hyperlink>
      <w:r w:rsidRPr="000E51A1">
        <w:t>, and </w:t>
      </w:r>
      <w:hyperlink r:id="rId19" w:history="1">
        <w:r w:rsidRPr="000E51A1">
          <w:rPr>
            <w:rStyle w:val="Hyperlink"/>
            <w:color w:val="auto"/>
          </w:rPr>
          <w:t>ID Media</w:t>
        </w:r>
      </w:hyperlink>
      <w:r w:rsidRPr="000E51A1">
        <w:t>. Its roster of specialty service agencies including </w:t>
      </w:r>
      <w:hyperlink r:id="rId20" w:history="1">
        <w:r w:rsidRPr="000E51A1">
          <w:rPr>
            <w:rStyle w:val="Hyperlink"/>
            <w:color w:val="auto"/>
          </w:rPr>
          <w:t>MAGNA GLOBAL</w:t>
        </w:r>
      </w:hyperlink>
      <w:r w:rsidRPr="000E51A1">
        <w:t>, </w:t>
      </w:r>
      <w:hyperlink r:id="rId21" w:history="1">
        <w:r w:rsidRPr="000E51A1">
          <w:rPr>
            <w:rStyle w:val="Hyperlink"/>
            <w:color w:val="auto"/>
          </w:rPr>
          <w:t>Ansible</w:t>
        </w:r>
      </w:hyperlink>
      <w:r w:rsidRPr="000E51A1">
        <w:t>,  </w:t>
      </w:r>
      <w:hyperlink r:id="rId22" w:history="1">
        <w:r w:rsidRPr="000E51A1">
          <w:rPr>
            <w:rStyle w:val="Hyperlink"/>
            <w:color w:val="auto"/>
          </w:rPr>
          <w:t>Mediabrands Audience Platform</w:t>
        </w:r>
      </w:hyperlink>
      <w:r w:rsidRPr="000E51A1">
        <w:t>, Mediabrands Publishing, </w:t>
      </w:r>
      <w:hyperlink r:id="rId23" w:history="1">
        <w:r w:rsidRPr="000E51A1">
          <w:rPr>
            <w:rStyle w:val="Hyperlink"/>
            <w:color w:val="auto"/>
          </w:rPr>
          <w:t xml:space="preserve">IPG Media </w:t>
        </w:r>
        <w:proofErr w:type="spellStart"/>
        <w:r w:rsidRPr="000E51A1">
          <w:rPr>
            <w:rStyle w:val="Hyperlink"/>
            <w:color w:val="auto"/>
          </w:rPr>
          <w:t>Lab</w:t>
        </w:r>
      </w:hyperlink>
      <w:r w:rsidRPr="000E51A1">
        <w:t>,</w:t>
      </w:r>
      <w:hyperlink r:id="rId24" w:history="1">
        <w:r w:rsidRPr="000E51A1">
          <w:rPr>
            <w:rStyle w:val="Hyperlink"/>
            <w:color w:val="auto"/>
          </w:rPr>
          <w:t>Ensemble</w:t>
        </w:r>
        <w:proofErr w:type="spellEnd"/>
      </w:hyperlink>
      <w:r w:rsidRPr="000E51A1">
        <w:t>, and </w:t>
      </w:r>
      <w:hyperlink r:id="rId25" w:history="1">
        <w:r w:rsidRPr="000E51A1">
          <w:rPr>
            <w:rStyle w:val="Hyperlink"/>
            <w:color w:val="auto"/>
          </w:rPr>
          <w:t>Identity</w:t>
        </w:r>
      </w:hyperlink>
      <w:r w:rsidRPr="000E51A1">
        <w:t> offer technologies and industry moving partnerships that are recognized for delivering unprecedented bottom line results for clients.</w:t>
      </w:r>
    </w:p>
    <w:p w:rsidR="00A67C0B" w:rsidRDefault="00A67C0B" w:rsidP="009A1FAE">
      <w:pPr>
        <w:rPr>
          <w:rFonts w:asciiTheme="majorHAnsi" w:hAnsiTheme="majorHAnsi"/>
        </w:rPr>
      </w:pPr>
    </w:p>
    <w:sectPr w:rsidR="00A67C0B">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52" w:rsidRDefault="00757752" w:rsidP="0009008A">
      <w:pPr>
        <w:spacing w:before="0" w:after="0" w:line="240" w:lineRule="auto"/>
      </w:pPr>
      <w:r>
        <w:separator/>
      </w:r>
    </w:p>
  </w:endnote>
  <w:endnote w:type="continuationSeparator" w:id="0">
    <w:p w:rsidR="00757752" w:rsidRDefault="00757752" w:rsidP="000900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91692"/>
      <w:docPartObj>
        <w:docPartGallery w:val="Page Numbers (Bottom of Page)"/>
        <w:docPartUnique/>
      </w:docPartObj>
    </w:sdtPr>
    <w:sdtEndPr>
      <w:rPr>
        <w:rFonts w:ascii="Georgia" w:hAnsi="Georgia"/>
        <w:noProof/>
        <w:sz w:val="16"/>
      </w:rPr>
    </w:sdtEndPr>
    <w:sdtContent>
      <w:p w:rsidR="00C001C7" w:rsidRPr="00146827" w:rsidRDefault="00C001C7">
        <w:pPr>
          <w:pStyle w:val="Footer"/>
          <w:jc w:val="center"/>
          <w:rPr>
            <w:rFonts w:ascii="Georgia" w:hAnsi="Georgia"/>
            <w:sz w:val="16"/>
          </w:rPr>
        </w:pPr>
        <w:r w:rsidRPr="00146827">
          <w:rPr>
            <w:rFonts w:ascii="Georgia" w:hAnsi="Georgia"/>
            <w:sz w:val="16"/>
          </w:rPr>
          <w:fldChar w:fldCharType="begin"/>
        </w:r>
        <w:r w:rsidRPr="00146827">
          <w:rPr>
            <w:rFonts w:ascii="Georgia" w:hAnsi="Georgia"/>
            <w:sz w:val="16"/>
          </w:rPr>
          <w:instrText xml:space="preserve"> PAGE   \* MERGEFORMAT </w:instrText>
        </w:r>
        <w:r w:rsidRPr="00146827">
          <w:rPr>
            <w:rFonts w:ascii="Georgia" w:hAnsi="Georgia"/>
            <w:sz w:val="16"/>
          </w:rPr>
          <w:fldChar w:fldCharType="separate"/>
        </w:r>
        <w:r w:rsidR="00BF0BCB">
          <w:rPr>
            <w:rFonts w:ascii="Georgia" w:hAnsi="Georgia"/>
            <w:noProof/>
            <w:sz w:val="16"/>
          </w:rPr>
          <w:t>2</w:t>
        </w:r>
        <w:r w:rsidRPr="00146827">
          <w:rPr>
            <w:rFonts w:ascii="Georgia" w:hAnsi="Georgia"/>
            <w:noProof/>
            <w:sz w:val="16"/>
          </w:rPr>
          <w:fldChar w:fldCharType="end"/>
        </w:r>
        <w:r>
          <w:rPr>
            <w:rFonts w:ascii="Georgia" w:hAnsi="Georgia"/>
            <w:noProof/>
            <w:sz w:val="16"/>
          </w:rPr>
          <w:t>/13</w:t>
        </w:r>
      </w:p>
    </w:sdtContent>
  </w:sdt>
  <w:p w:rsidR="00C001C7" w:rsidRDefault="00C00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52" w:rsidRDefault="00757752" w:rsidP="0009008A">
      <w:pPr>
        <w:spacing w:before="0" w:after="0" w:line="240" w:lineRule="auto"/>
      </w:pPr>
      <w:r>
        <w:separator/>
      </w:r>
    </w:p>
  </w:footnote>
  <w:footnote w:type="continuationSeparator" w:id="0">
    <w:p w:rsidR="00757752" w:rsidRDefault="00757752" w:rsidP="0009008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C7" w:rsidRDefault="00C001C7" w:rsidP="007F2882">
    <w:pPr>
      <w:pStyle w:val="Header"/>
      <w:jc w:val="right"/>
    </w:pPr>
    <w:r>
      <w:rPr>
        <w:b/>
        <w:noProof/>
        <w:sz w:val="24"/>
        <w:lang w:val="en-SG" w:eastAsia="en-SG"/>
      </w:rPr>
      <w:drawing>
        <wp:inline distT="0" distB="0" distL="0" distR="0" wp14:anchorId="63BBD53E" wp14:editId="37F09074">
          <wp:extent cx="1345721" cy="1345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_MAGDA_Black_RGB.gif"/>
                  <pic:cNvPicPr/>
                </pic:nvPicPr>
                <pic:blipFill>
                  <a:blip r:embed="rId1">
                    <a:extLst>
                      <a:ext uri="{28A0092B-C50C-407E-A947-70E740481C1C}">
                        <a14:useLocalDpi xmlns:a14="http://schemas.microsoft.com/office/drawing/2010/main" val="0"/>
                      </a:ext>
                    </a:extLst>
                  </a:blip>
                  <a:stretch>
                    <a:fillRect/>
                  </a:stretch>
                </pic:blipFill>
                <pic:spPr>
                  <a:xfrm>
                    <a:off x="0" y="0"/>
                    <a:ext cx="1345721" cy="13457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1F2"/>
    <w:multiLevelType w:val="hybridMultilevel"/>
    <w:tmpl w:val="C546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17669"/>
    <w:multiLevelType w:val="hybridMultilevel"/>
    <w:tmpl w:val="9746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C1353"/>
    <w:multiLevelType w:val="hybridMultilevel"/>
    <w:tmpl w:val="FA1240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5B249A"/>
    <w:multiLevelType w:val="hybridMultilevel"/>
    <w:tmpl w:val="0A3C0562"/>
    <w:lvl w:ilvl="0" w:tplc="DEC00A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CA3024"/>
    <w:multiLevelType w:val="hybridMultilevel"/>
    <w:tmpl w:val="3D72A4C2"/>
    <w:lvl w:ilvl="0" w:tplc="04090001">
      <w:start w:val="1"/>
      <w:numFmt w:val="bullet"/>
      <w:lvlText w:val=""/>
      <w:lvlJc w:val="left"/>
      <w:pPr>
        <w:tabs>
          <w:tab w:val="num" w:pos="360"/>
        </w:tabs>
        <w:ind w:left="360" w:hanging="360"/>
      </w:pPr>
      <w:rPr>
        <w:rFonts w:ascii="Symbol" w:hAnsi="Symbol" w:hint="default"/>
      </w:rPr>
    </w:lvl>
    <w:lvl w:ilvl="1" w:tplc="2F4E29E8" w:tentative="1">
      <w:start w:val="1"/>
      <w:numFmt w:val="decimal"/>
      <w:lvlText w:val="%2."/>
      <w:lvlJc w:val="left"/>
      <w:pPr>
        <w:tabs>
          <w:tab w:val="num" w:pos="1080"/>
        </w:tabs>
        <w:ind w:left="1080" w:hanging="360"/>
      </w:pPr>
    </w:lvl>
    <w:lvl w:ilvl="2" w:tplc="0F3CE710" w:tentative="1">
      <w:start w:val="1"/>
      <w:numFmt w:val="decimal"/>
      <w:lvlText w:val="%3."/>
      <w:lvlJc w:val="left"/>
      <w:pPr>
        <w:tabs>
          <w:tab w:val="num" w:pos="1800"/>
        </w:tabs>
        <w:ind w:left="1800" w:hanging="360"/>
      </w:pPr>
    </w:lvl>
    <w:lvl w:ilvl="3" w:tplc="CFA46FEC" w:tentative="1">
      <w:start w:val="1"/>
      <w:numFmt w:val="decimal"/>
      <w:lvlText w:val="%4."/>
      <w:lvlJc w:val="left"/>
      <w:pPr>
        <w:tabs>
          <w:tab w:val="num" w:pos="2520"/>
        </w:tabs>
        <w:ind w:left="2520" w:hanging="360"/>
      </w:pPr>
    </w:lvl>
    <w:lvl w:ilvl="4" w:tplc="320A072E" w:tentative="1">
      <w:start w:val="1"/>
      <w:numFmt w:val="decimal"/>
      <w:lvlText w:val="%5."/>
      <w:lvlJc w:val="left"/>
      <w:pPr>
        <w:tabs>
          <w:tab w:val="num" w:pos="3240"/>
        </w:tabs>
        <w:ind w:left="3240" w:hanging="360"/>
      </w:pPr>
    </w:lvl>
    <w:lvl w:ilvl="5" w:tplc="D92C0F08" w:tentative="1">
      <w:start w:val="1"/>
      <w:numFmt w:val="decimal"/>
      <w:lvlText w:val="%6."/>
      <w:lvlJc w:val="left"/>
      <w:pPr>
        <w:tabs>
          <w:tab w:val="num" w:pos="3960"/>
        </w:tabs>
        <w:ind w:left="3960" w:hanging="360"/>
      </w:pPr>
    </w:lvl>
    <w:lvl w:ilvl="6" w:tplc="0B4A8362" w:tentative="1">
      <w:start w:val="1"/>
      <w:numFmt w:val="decimal"/>
      <w:lvlText w:val="%7."/>
      <w:lvlJc w:val="left"/>
      <w:pPr>
        <w:tabs>
          <w:tab w:val="num" w:pos="4680"/>
        </w:tabs>
        <w:ind w:left="4680" w:hanging="360"/>
      </w:pPr>
    </w:lvl>
    <w:lvl w:ilvl="7" w:tplc="E78EDFB2" w:tentative="1">
      <w:start w:val="1"/>
      <w:numFmt w:val="decimal"/>
      <w:lvlText w:val="%8."/>
      <w:lvlJc w:val="left"/>
      <w:pPr>
        <w:tabs>
          <w:tab w:val="num" w:pos="5400"/>
        </w:tabs>
        <w:ind w:left="5400" w:hanging="360"/>
      </w:pPr>
    </w:lvl>
    <w:lvl w:ilvl="8" w:tplc="324E57BC" w:tentative="1">
      <w:start w:val="1"/>
      <w:numFmt w:val="decimal"/>
      <w:lvlText w:val="%9."/>
      <w:lvlJc w:val="left"/>
      <w:pPr>
        <w:tabs>
          <w:tab w:val="num" w:pos="6120"/>
        </w:tabs>
        <w:ind w:left="6120" w:hanging="360"/>
      </w:pPr>
    </w:lvl>
  </w:abstractNum>
  <w:abstractNum w:abstractNumId="5">
    <w:nsid w:val="425B51A7"/>
    <w:multiLevelType w:val="hybridMultilevel"/>
    <w:tmpl w:val="718E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7C15F9"/>
    <w:multiLevelType w:val="hybridMultilevel"/>
    <w:tmpl w:val="94AE4396"/>
    <w:lvl w:ilvl="0" w:tplc="26AC15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1218E"/>
    <w:multiLevelType w:val="hybridMultilevel"/>
    <w:tmpl w:val="47EC817A"/>
    <w:lvl w:ilvl="0" w:tplc="13A63AA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125DA"/>
    <w:multiLevelType w:val="hybridMultilevel"/>
    <w:tmpl w:val="902E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0"/>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12"/>
    <w:rsid w:val="0000176A"/>
    <w:rsid w:val="000112A6"/>
    <w:rsid w:val="00011300"/>
    <w:rsid w:val="00031D4D"/>
    <w:rsid w:val="0004194A"/>
    <w:rsid w:val="000463CA"/>
    <w:rsid w:val="00057FE1"/>
    <w:rsid w:val="00061902"/>
    <w:rsid w:val="0006659E"/>
    <w:rsid w:val="00072239"/>
    <w:rsid w:val="00073164"/>
    <w:rsid w:val="0009008A"/>
    <w:rsid w:val="0009215A"/>
    <w:rsid w:val="000B4C26"/>
    <w:rsid w:val="000D2CF9"/>
    <w:rsid w:val="000D2DF4"/>
    <w:rsid w:val="000D580B"/>
    <w:rsid w:val="000F12DC"/>
    <w:rsid w:val="000F44FE"/>
    <w:rsid w:val="000F6DFD"/>
    <w:rsid w:val="000F76B3"/>
    <w:rsid w:val="00104AAC"/>
    <w:rsid w:val="00104ACE"/>
    <w:rsid w:val="00110E41"/>
    <w:rsid w:val="00123B93"/>
    <w:rsid w:val="00134303"/>
    <w:rsid w:val="00146827"/>
    <w:rsid w:val="001534E0"/>
    <w:rsid w:val="00156EFA"/>
    <w:rsid w:val="00161FDD"/>
    <w:rsid w:val="00164041"/>
    <w:rsid w:val="00167948"/>
    <w:rsid w:val="001768CD"/>
    <w:rsid w:val="001771C2"/>
    <w:rsid w:val="0018045F"/>
    <w:rsid w:val="00194706"/>
    <w:rsid w:val="001948C8"/>
    <w:rsid w:val="001B3ABA"/>
    <w:rsid w:val="001C3C06"/>
    <w:rsid w:val="001D042C"/>
    <w:rsid w:val="001E2C5E"/>
    <w:rsid w:val="001E64F8"/>
    <w:rsid w:val="001E7930"/>
    <w:rsid w:val="001F1EA5"/>
    <w:rsid w:val="00206093"/>
    <w:rsid w:val="00207C6B"/>
    <w:rsid w:val="0021472E"/>
    <w:rsid w:val="002153D6"/>
    <w:rsid w:val="002332ED"/>
    <w:rsid w:val="0023523B"/>
    <w:rsid w:val="00245F6E"/>
    <w:rsid w:val="0025618C"/>
    <w:rsid w:val="00262B1A"/>
    <w:rsid w:val="0026789C"/>
    <w:rsid w:val="00272275"/>
    <w:rsid w:val="00277E6C"/>
    <w:rsid w:val="002811CF"/>
    <w:rsid w:val="00286954"/>
    <w:rsid w:val="00293DD5"/>
    <w:rsid w:val="00294497"/>
    <w:rsid w:val="002A0F02"/>
    <w:rsid w:val="002A16FA"/>
    <w:rsid w:val="002A635E"/>
    <w:rsid w:val="002C5970"/>
    <w:rsid w:val="002D7495"/>
    <w:rsid w:val="002E336F"/>
    <w:rsid w:val="002E3A37"/>
    <w:rsid w:val="002F5009"/>
    <w:rsid w:val="00300FB0"/>
    <w:rsid w:val="003047BE"/>
    <w:rsid w:val="00306ABF"/>
    <w:rsid w:val="00311A96"/>
    <w:rsid w:val="0032238E"/>
    <w:rsid w:val="00326F80"/>
    <w:rsid w:val="00347E4D"/>
    <w:rsid w:val="00357135"/>
    <w:rsid w:val="00386354"/>
    <w:rsid w:val="00387FB1"/>
    <w:rsid w:val="003925C0"/>
    <w:rsid w:val="0039530E"/>
    <w:rsid w:val="003A6D77"/>
    <w:rsid w:val="003C0E54"/>
    <w:rsid w:val="003C3B57"/>
    <w:rsid w:val="003D0913"/>
    <w:rsid w:val="003E15D7"/>
    <w:rsid w:val="00410E9C"/>
    <w:rsid w:val="004160A1"/>
    <w:rsid w:val="00421EBF"/>
    <w:rsid w:val="004269E5"/>
    <w:rsid w:val="00446962"/>
    <w:rsid w:val="004642E8"/>
    <w:rsid w:val="00491833"/>
    <w:rsid w:val="004A26AD"/>
    <w:rsid w:val="004A4F6A"/>
    <w:rsid w:val="004A5B46"/>
    <w:rsid w:val="004B22AD"/>
    <w:rsid w:val="004B2E85"/>
    <w:rsid w:val="004C33FE"/>
    <w:rsid w:val="004D6E64"/>
    <w:rsid w:val="004E2815"/>
    <w:rsid w:val="005129CB"/>
    <w:rsid w:val="00516277"/>
    <w:rsid w:val="00517CDA"/>
    <w:rsid w:val="00541918"/>
    <w:rsid w:val="00550B2B"/>
    <w:rsid w:val="00555E59"/>
    <w:rsid w:val="00575A30"/>
    <w:rsid w:val="00593482"/>
    <w:rsid w:val="005955BA"/>
    <w:rsid w:val="005A1670"/>
    <w:rsid w:val="005A6B36"/>
    <w:rsid w:val="005B44F0"/>
    <w:rsid w:val="005B4F14"/>
    <w:rsid w:val="005D3D0B"/>
    <w:rsid w:val="005E274E"/>
    <w:rsid w:val="005E4DE3"/>
    <w:rsid w:val="005E6890"/>
    <w:rsid w:val="005F6EF2"/>
    <w:rsid w:val="00605CC7"/>
    <w:rsid w:val="00611DF5"/>
    <w:rsid w:val="00612430"/>
    <w:rsid w:val="00617DB7"/>
    <w:rsid w:val="006440A2"/>
    <w:rsid w:val="00660E2E"/>
    <w:rsid w:val="006721B1"/>
    <w:rsid w:val="006801E0"/>
    <w:rsid w:val="00690E12"/>
    <w:rsid w:val="00697880"/>
    <w:rsid w:val="006A6C57"/>
    <w:rsid w:val="006C38C7"/>
    <w:rsid w:val="006D0F8F"/>
    <w:rsid w:val="007024BE"/>
    <w:rsid w:val="00721611"/>
    <w:rsid w:val="00722574"/>
    <w:rsid w:val="0072375E"/>
    <w:rsid w:val="0073271F"/>
    <w:rsid w:val="00734042"/>
    <w:rsid w:val="00736551"/>
    <w:rsid w:val="00757752"/>
    <w:rsid w:val="007640B3"/>
    <w:rsid w:val="00776F16"/>
    <w:rsid w:val="007A003C"/>
    <w:rsid w:val="007C181D"/>
    <w:rsid w:val="007C50A2"/>
    <w:rsid w:val="007D33E9"/>
    <w:rsid w:val="007D3BE9"/>
    <w:rsid w:val="007F2882"/>
    <w:rsid w:val="007F799F"/>
    <w:rsid w:val="008213C7"/>
    <w:rsid w:val="0083588D"/>
    <w:rsid w:val="00837C7C"/>
    <w:rsid w:val="00856133"/>
    <w:rsid w:val="00856A69"/>
    <w:rsid w:val="0086101A"/>
    <w:rsid w:val="00866376"/>
    <w:rsid w:val="00867EE5"/>
    <w:rsid w:val="00887CAC"/>
    <w:rsid w:val="008B7C03"/>
    <w:rsid w:val="008C5179"/>
    <w:rsid w:val="008D51FF"/>
    <w:rsid w:val="008D5CF3"/>
    <w:rsid w:val="008D63BA"/>
    <w:rsid w:val="008D6FCA"/>
    <w:rsid w:val="008E5A1C"/>
    <w:rsid w:val="00907DE2"/>
    <w:rsid w:val="00913A3D"/>
    <w:rsid w:val="009316F8"/>
    <w:rsid w:val="009361C4"/>
    <w:rsid w:val="0093628F"/>
    <w:rsid w:val="00943EC5"/>
    <w:rsid w:val="00951AC3"/>
    <w:rsid w:val="00961B5F"/>
    <w:rsid w:val="009725B2"/>
    <w:rsid w:val="00973EA4"/>
    <w:rsid w:val="00976CC6"/>
    <w:rsid w:val="00982B04"/>
    <w:rsid w:val="009841EE"/>
    <w:rsid w:val="00992B4A"/>
    <w:rsid w:val="00996EAD"/>
    <w:rsid w:val="009A1FAE"/>
    <w:rsid w:val="009A40F6"/>
    <w:rsid w:val="009C7E2D"/>
    <w:rsid w:val="009D4D80"/>
    <w:rsid w:val="009E121E"/>
    <w:rsid w:val="00A4211F"/>
    <w:rsid w:val="00A57AD0"/>
    <w:rsid w:val="00A67C0B"/>
    <w:rsid w:val="00A8378C"/>
    <w:rsid w:val="00A872CA"/>
    <w:rsid w:val="00A87E72"/>
    <w:rsid w:val="00AA5AFE"/>
    <w:rsid w:val="00AC2267"/>
    <w:rsid w:val="00AC4966"/>
    <w:rsid w:val="00AC7DD8"/>
    <w:rsid w:val="00AD0D0C"/>
    <w:rsid w:val="00AD5F00"/>
    <w:rsid w:val="00AE1C41"/>
    <w:rsid w:val="00AE7BA3"/>
    <w:rsid w:val="00AF25A9"/>
    <w:rsid w:val="00AF5048"/>
    <w:rsid w:val="00B03456"/>
    <w:rsid w:val="00B07CDE"/>
    <w:rsid w:val="00B21489"/>
    <w:rsid w:val="00B32A90"/>
    <w:rsid w:val="00B33434"/>
    <w:rsid w:val="00B40518"/>
    <w:rsid w:val="00B45161"/>
    <w:rsid w:val="00B456F4"/>
    <w:rsid w:val="00B72A89"/>
    <w:rsid w:val="00B741DD"/>
    <w:rsid w:val="00B76B3C"/>
    <w:rsid w:val="00B77FC1"/>
    <w:rsid w:val="00B8231F"/>
    <w:rsid w:val="00B8420C"/>
    <w:rsid w:val="00B85689"/>
    <w:rsid w:val="00B85B4A"/>
    <w:rsid w:val="00B86E92"/>
    <w:rsid w:val="00BC06B4"/>
    <w:rsid w:val="00BC224F"/>
    <w:rsid w:val="00BC5060"/>
    <w:rsid w:val="00BC6CEC"/>
    <w:rsid w:val="00BE7C0C"/>
    <w:rsid w:val="00BF0BCB"/>
    <w:rsid w:val="00C001C7"/>
    <w:rsid w:val="00C0676D"/>
    <w:rsid w:val="00C06B08"/>
    <w:rsid w:val="00C17326"/>
    <w:rsid w:val="00C30A12"/>
    <w:rsid w:val="00C46372"/>
    <w:rsid w:val="00C5034F"/>
    <w:rsid w:val="00C5103F"/>
    <w:rsid w:val="00C715C5"/>
    <w:rsid w:val="00C74822"/>
    <w:rsid w:val="00C75F27"/>
    <w:rsid w:val="00C90537"/>
    <w:rsid w:val="00CC04A9"/>
    <w:rsid w:val="00CC5891"/>
    <w:rsid w:val="00CF5A35"/>
    <w:rsid w:val="00D03B74"/>
    <w:rsid w:val="00D03C4A"/>
    <w:rsid w:val="00D137D8"/>
    <w:rsid w:val="00D17DF7"/>
    <w:rsid w:val="00D25264"/>
    <w:rsid w:val="00D270B7"/>
    <w:rsid w:val="00D354BA"/>
    <w:rsid w:val="00D5277E"/>
    <w:rsid w:val="00D629C0"/>
    <w:rsid w:val="00D66079"/>
    <w:rsid w:val="00D67F7C"/>
    <w:rsid w:val="00D71624"/>
    <w:rsid w:val="00D71B5B"/>
    <w:rsid w:val="00D83BAE"/>
    <w:rsid w:val="00D85239"/>
    <w:rsid w:val="00DA1CD4"/>
    <w:rsid w:val="00DA4AFC"/>
    <w:rsid w:val="00DD195E"/>
    <w:rsid w:val="00DD2EEA"/>
    <w:rsid w:val="00DE05FA"/>
    <w:rsid w:val="00DF1F94"/>
    <w:rsid w:val="00E2147C"/>
    <w:rsid w:val="00E30CBB"/>
    <w:rsid w:val="00E44111"/>
    <w:rsid w:val="00E468E8"/>
    <w:rsid w:val="00E5023E"/>
    <w:rsid w:val="00E5169D"/>
    <w:rsid w:val="00E65863"/>
    <w:rsid w:val="00E81F1B"/>
    <w:rsid w:val="00E90E86"/>
    <w:rsid w:val="00E93FDC"/>
    <w:rsid w:val="00E96854"/>
    <w:rsid w:val="00EA307B"/>
    <w:rsid w:val="00EB16B8"/>
    <w:rsid w:val="00ED195A"/>
    <w:rsid w:val="00EF144E"/>
    <w:rsid w:val="00EF22EB"/>
    <w:rsid w:val="00EF40AF"/>
    <w:rsid w:val="00F0459C"/>
    <w:rsid w:val="00F05F5E"/>
    <w:rsid w:val="00F10BF2"/>
    <w:rsid w:val="00F114BF"/>
    <w:rsid w:val="00F169AC"/>
    <w:rsid w:val="00F30AC0"/>
    <w:rsid w:val="00F313F1"/>
    <w:rsid w:val="00F35649"/>
    <w:rsid w:val="00F37456"/>
    <w:rsid w:val="00FA43AF"/>
    <w:rsid w:val="00FC3E5F"/>
    <w:rsid w:val="00FC4645"/>
    <w:rsid w:val="00FD760B"/>
    <w:rsid w:val="00FE1E51"/>
    <w:rsid w:val="00FE2F14"/>
    <w:rsid w:val="00FE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C06"/>
    <w:pPr>
      <w:keepNext/>
      <w:keepLines/>
      <w:spacing w:before="200" w:after="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2E"/>
    <w:pPr>
      <w:ind w:left="720"/>
      <w:contextualSpacing/>
    </w:pPr>
  </w:style>
  <w:style w:type="character" w:customStyle="1" w:styleId="Heading2Char">
    <w:name w:val="Heading 2 Char"/>
    <w:basedOn w:val="DefaultParagraphFont"/>
    <w:link w:val="Heading2"/>
    <w:uiPriority w:val="9"/>
    <w:rsid w:val="001C3C06"/>
    <w:rPr>
      <w:rFonts w:asciiTheme="majorHAnsi" w:eastAsiaTheme="majorEastAsia" w:hAnsiTheme="majorHAnsi" w:cstheme="majorBidi"/>
      <w:b/>
      <w:bCs/>
      <w:color w:val="1F497D" w:themeColor="text2"/>
      <w:sz w:val="26"/>
      <w:szCs w:val="26"/>
    </w:rPr>
  </w:style>
  <w:style w:type="character" w:customStyle="1" w:styleId="Heading1Char">
    <w:name w:val="Heading 1 Char"/>
    <w:basedOn w:val="DefaultParagraphFont"/>
    <w:link w:val="Heading1"/>
    <w:uiPriority w:val="9"/>
    <w:rsid w:val="0059348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129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14"/>
    <w:rPr>
      <w:rFonts w:ascii="Tahoma" w:hAnsi="Tahoma" w:cs="Tahoma"/>
      <w:sz w:val="16"/>
      <w:szCs w:val="16"/>
    </w:rPr>
  </w:style>
  <w:style w:type="paragraph" w:styleId="Header">
    <w:name w:val="header"/>
    <w:basedOn w:val="Normal"/>
    <w:link w:val="HeaderChar"/>
    <w:uiPriority w:val="99"/>
    <w:unhideWhenUsed/>
    <w:rsid w:val="000900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008A"/>
  </w:style>
  <w:style w:type="paragraph" w:styleId="Footer">
    <w:name w:val="footer"/>
    <w:basedOn w:val="Normal"/>
    <w:link w:val="FooterChar"/>
    <w:uiPriority w:val="99"/>
    <w:unhideWhenUsed/>
    <w:rsid w:val="000900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008A"/>
  </w:style>
  <w:style w:type="character" w:styleId="Hyperlink">
    <w:name w:val="Hyperlink"/>
    <w:basedOn w:val="DefaultParagraphFont"/>
    <w:uiPriority w:val="99"/>
    <w:unhideWhenUsed/>
    <w:rsid w:val="003D0913"/>
    <w:rPr>
      <w:color w:val="0000FF" w:themeColor="hyperlink"/>
      <w:u w:val="single"/>
    </w:rPr>
  </w:style>
  <w:style w:type="paragraph" w:styleId="Caption">
    <w:name w:val="caption"/>
    <w:basedOn w:val="Normal"/>
    <w:next w:val="Normal"/>
    <w:uiPriority w:val="35"/>
    <w:unhideWhenUsed/>
    <w:qFormat/>
    <w:rsid w:val="00F114BF"/>
    <w:pPr>
      <w:spacing w:before="0" w:after="200" w:line="240" w:lineRule="auto"/>
    </w:pPr>
    <w:rPr>
      <w:b/>
      <w:bCs/>
      <w:color w:val="4F81BD" w:themeColor="accent1"/>
      <w:sz w:val="18"/>
      <w:szCs w:val="18"/>
    </w:rPr>
  </w:style>
  <w:style w:type="table" w:styleId="LightList-Accent1">
    <w:name w:val="Light List Accent 1"/>
    <w:basedOn w:val="TableNormal"/>
    <w:uiPriority w:val="61"/>
    <w:rsid w:val="006A6C57"/>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C06"/>
    <w:pPr>
      <w:keepNext/>
      <w:keepLines/>
      <w:spacing w:before="200" w:after="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2E"/>
    <w:pPr>
      <w:ind w:left="720"/>
      <w:contextualSpacing/>
    </w:pPr>
  </w:style>
  <w:style w:type="character" w:customStyle="1" w:styleId="Heading2Char">
    <w:name w:val="Heading 2 Char"/>
    <w:basedOn w:val="DefaultParagraphFont"/>
    <w:link w:val="Heading2"/>
    <w:uiPriority w:val="9"/>
    <w:rsid w:val="001C3C06"/>
    <w:rPr>
      <w:rFonts w:asciiTheme="majorHAnsi" w:eastAsiaTheme="majorEastAsia" w:hAnsiTheme="majorHAnsi" w:cstheme="majorBidi"/>
      <w:b/>
      <w:bCs/>
      <w:color w:val="1F497D" w:themeColor="text2"/>
      <w:sz w:val="26"/>
      <w:szCs w:val="26"/>
    </w:rPr>
  </w:style>
  <w:style w:type="character" w:customStyle="1" w:styleId="Heading1Char">
    <w:name w:val="Heading 1 Char"/>
    <w:basedOn w:val="DefaultParagraphFont"/>
    <w:link w:val="Heading1"/>
    <w:uiPriority w:val="9"/>
    <w:rsid w:val="0059348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129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14"/>
    <w:rPr>
      <w:rFonts w:ascii="Tahoma" w:hAnsi="Tahoma" w:cs="Tahoma"/>
      <w:sz w:val="16"/>
      <w:szCs w:val="16"/>
    </w:rPr>
  </w:style>
  <w:style w:type="paragraph" w:styleId="Header">
    <w:name w:val="header"/>
    <w:basedOn w:val="Normal"/>
    <w:link w:val="HeaderChar"/>
    <w:uiPriority w:val="99"/>
    <w:unhideWhenUsed/>
    <w:rsid w:val="000900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008A"/>
  </w:style>
  <w:style w:type="paragraph" w:styleId="Footer">
    <w:name w:val="footer"/>
    <w:basedOn w:val="Normal"/>
    <w:link w:val="FooterChar"/>
    <w:uiPriority w:val="99"/>
    <w:unhideWhenUsed/>
    <w:rsid w:val="000900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008A"/>
  </w:style>
  <w:style w:type="character" w:styleId="Hyperlink">
    <w:name w:val="Hyperlink"/>
    <w:basedOn w:val="DefaultParagraphFont"/>
    <w:uiPriority w:val="99"/>
    <w:unhideWhenUsed/>
    <w:rsid w:val="003D0913"/>
    <w:rPr>
      <w:color w:val="0000FF" w:themeColor="hyperlink"/>
      <w:u w:val="single"/>
    </w:rPr>
  </w:style>
  <w:style w:type="paragraph" w:styleId="Caption">
    <w:name w:val="caption"/>
    <w:basedOn w:val="Normal"/>
    <w:next w:val="Normal"/>
    <w:uiPriority w:val="35"/>
    <w:unhideWhenUsed/>
    <w:qFormat/>
    <w:rsid w:val="00F114BF"/>
    <w:pPr>
      <w:spacing w:before="0" w:after="200" w:line="240" w:lineRule="auto"/>
    </w:pPr>
    <w:rPr>
      <w:b/>
      <w:bCs/>
      <w:color w:val="4F81BD" w:themeColor="accent1"/>
      <w:sz w:val="18"/>
      <w:szCs w:val="18"/>
    </w:rPr>
  </w:style>
  <w:style w:type="table" w:styleId="LightList-Accent1">
    <w:name w:val="Light List Accent 1"/>
    <w:basedOn w:val="TableNormal"/>
    <w:uiPriority w:val="61"/>
    <w:rsid w:val="006A6C57"/>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9174">
      <w:bodyDiv w:val="1"/>
      <w:marLeft w:val="0"/>
      <w:marRight w:val="0"/>
      <w:marTop w:val="0"/>
      <w:marBottom w:val="0"/>
      <w:divBdr>
        <w:top w:val="none" w:sz="0" w:space="0" w:color="auto"/>
        <w:left w:val="none" w:sz="0" w:space="0" w:color="auto"/>
        <w:bottom w:val="none" w:sz="0" w:space="0" w:color="auto"/>
        <w:right w:val="none" w:sz="0" w:space="0" w:color="auto"/>
      </w:divBdr>
    </w:div>
    <w:div w:id="375130677">
      <w:bodyDiv w:val="1"/>
      <w:marLeft w:val="0"/>
      <w:marRight w:val="0"/>
      <w:marTop w:val="0"/>
      <w:marBottom w:val="0"/>
      <w:divBdr>
        <w:top w:val="none" w:sz="0" w:space="0" w:color="auto"/>
        <w:left w:val="none" w:sz="0" w:space="0" w:color="auto"/>
        <w:bottom w:val="none" w:sz="0" w:space="0" w:color="auto"/>
        <w:right w:val="none" w:sz="0" w:space="0" w:color="auto"/>
      </w:divBdr>
    </w:div>
    <w:div w:id="623804224">
      <w:bodyDiv w:val="1"/>
      <w:marLeft w:val="0"/>
      <w:marRight w:val="0"/>
      <w:marTop w:val="0"/>
      <w:marBottom w:val="0"/>
      <w:divBdr>
        <w:top w:val="none" w:sz="0" w:space="0" w:color="auto"/>
        <w:left w:val="none" w:sz="0" w:space="0" w:color="auto"/>
        <w:bottom w:val="none" w:sz="0" w:space="0" w:color="auto"/>
        <w:right w:val="none" w:sz="0" w:space="0" w:color="auto"/>
      </w:divBdr>
    </w:div>
    <w:div w:id="737630523">
      <w:bodyDiv w:val="1"/>
      <w:marLeft w:val="0"/>
      <w:marRight w:val="0"/>
      <w:marTop w:val="0"/>
      <w:marBottom w:val="0"/>
      <w:divBdr>
        <w:top w:val="none" w:sz="0" w:space="0" w:color="auto"/>
        <w:left w:val="none" w:sz="0" w:space="0" w:color="auto"/>
        <w:bottom w:val="none" w:sz="0" w:space="0" w:color="auto"/>
        <w:right w:val="none" w:sz="0" w:space="0" w:color="auto"/>
      </w:divBdr>
    </w:div>
    <w:div w:id="968587043">
      <w:bodyDiv w:val="1"/>
      <w:marLeft w:val="0"/>
      <w:marRight w:val="0"/>
      <w:marTop w:val="0"/>
      <w:marBottom w:val="0"/>
      <w:divBdr>
        <w:top w:val="none" w:sz="0" w:space="0" w:color="auto"/>
        <w:left w:val="none" w:sz="0" w:space="0" w:color="auto"/>
        <w:bottom w:val="none" w:sz="0" w:space="0" w:color="auto"/>
        <w:right w:val="none" w:sz="0" w:space="0" w:color="auto"/>
      </w:divBdr>
    </w:div>
    <w:div w:id="1243028891">
      <w:bodyDiv w:val="1"/>
      <w:marLeft w:val="0"/>
      <w:marRight w:val="0"/>
      <w:marTop w:val="0"/>
      <w:marBottom w:val="0"/>
      <w:divBdr>
        <w:top w:val="none" w:sz="0" w:space="0" w:color="auto"/>
        <w:left w:val="none" w:sz="0" w:space="0" w:color="auto"/>
        <w:bottom w:val="none" w:sz="0" w:space="0" w:color="auto"/>
        <w:right w:val="none" w:sz="0" w:space="0" w:color="auto"/>
      </w:divBdr>
    </w:div>
    <w:div w:id="1362053225">
      <w:bodyDiv w:val="1"/>
      <w:marLeft w:val="0"/>
      <w:marRight w:val="0"/>
      <w:marTop w:val="0"/>
      <w:marBottom w:val="0"/>
      <w:divBdr>
        <w:top w:val="none" w:sz="0" w:space="0" w:color="auto"/>
        <w:left w:val="none" w:sz="0" w:space="0" w:color="auto"/>
        <w:bottom w:val="none" w:sz="0" w:space="0" w:color="auto"/>
        <w:right w:val="none" w:sz="0" w:space="0" w:color="auto"/>
      </w:divBdr>
    </w:div>
    <w:div w:id="1403063372">
      <w:bodyDiv w:val="1"/>
      <w:marLeft w:val="0"/>
      <w:marRight w:val="0"/>
      <w:marTop w:val="0"/>
      <w:marBottom w:val="0"/>
      <w:divBdr>
        <w:top w:val="none" w:sz="0" w:space="0" w:color="auto"/>
        <w:left w:val="none" w:sz="0" w:space="0" w:color="auto"/>
        <w:bottom w:val="none" w:sz="0" w:space="0" w:color="auto"/>
        <w:right w:val="none" w:sz="0" w:space="0" w:color="auto"/>
      </w:divBdr>
    </w:div>
    <w:div w:id="1415780698">
      <w:bodyDiv w:val="1"/>
      <w:marLeft w:val="0"/>
      <w:marRight w:val="0"/>
      <w:marTop w:val="0"/>
      <w:marBottom w:val="0"/>
      <w:divBdr>
        <w:top w:val="none" w:sz="0" w:space="0" w:color="auto"/>
        <w:left w:val="none" w:sz="0" w:space="0" w:color="auto"/>
        <w:bottom w:val="none" w:sz="0" w:space="0" w:color="auto"/>
        <w:right w:val="none" w:sz="0" w:space="0" w:color="auto"/>
      </w:divBdr>
    </w:div>
    <w:div w:id="1419520835">
      <w:bodyDiv w:val="1"/>
      <w:marLeft w:val="0"/>
      <w:marRight w:val="0"/>
      <w:marTop w:val="0"/>
      <w:marBottom w:val="0"/>
      <w:divBdr>
        <w:top w:val="none" w:sz="0" w:space="0" w:color="auto"/>
        <w:left w:val="none" w:sz="0" w:space="0" w:color="auto"/>
        <w:bottom w:val="none" w:sz="0" w:space="0" w:color="auto"/>
        <w:right w:val="none" w:sz="0" w:space="0" w:color="auto"/>
      </w:divBdr>
    </w:div>
    <w:div w:id="1460495354">
      <w:bodyDiv w:val="1"/>
      <w:marLeft w:val="0"/>
      <w:marRight w:val="0"/>
      <w:marTop w:val="0"/>
      <w:marBottom w:val="0"/>
      <w:divBdr>
        <w:top w:val="none" w:sz="0" w:space="0" w:color="auto"/>
        <w:left w:val="none" w:sz="0" w:space="0" w:color="auto"/>
        <w:bottom w:val="none" w:sz="0" w:space="0" w:color="auto"/>
        <w:right w:val="none" w:sz="0" w:space="0" w:color="auto"/>
      </w:divBdr>
    </w:div>
    <w:div w:id="1587883844">
      <w:bodyDiv w:val="1"/>
      <w:marLeft w:val="0"/>
      <w:marRight w:val="0"/>
      <w:marTop w:val="0"/>
      <w:marBottom w:val="0"/>
      <w:divBdr>
        <w:top w:val="none" w:sz="0" w:space="0" w:color="auto"/>
        <w:left w:val="none" w:sz="0" w:space="0" w:color="auto"/>
        <w:bottom w:val="none" w:sz="0" w:space="0" w:color="auto"/>
        <w:right w:val="none" w:sz="0" w:space="0" w:color="auto"/>
      </w:divBdr>
    </w:div>
    <w:div w:id="1640332983">
      <w:bodyDiv w:val="1"/>
      <w:marLeft w:val="0"/>
      <w:marRight w:val="0"/>
      <w:marTop w:val="0"/>
      <w:marBottom w:val="0"/>
      <w:divBdr>
        <w:top w:val="none" w:sz="0" w:space="0" w:color="auto"/>
        <w:left w:val="none" w:sz="0" w:space="0" w:color="auto"/>
        <w:bottom w:val="none" w:sz="0" w:space="0" w:color="auto"/>
        <w:right w:val="none" w:sz="0" w:space="0" w:color="auto"/>
      </w:divBdr>
    </w:div>
    <w:div w:id="1802578133">
      <w:bodyDiv w:val="1"/>
      <w:marLeft w:val="0"/>
      <w:marRight w:val="0"/>
      <w:marTop w:val="0"/>
      <w:marBottom w:val="0"/>
      <w:divBdr>
        <w:top w:val="none" w:sz="0" w:space="0" w:color="auto"/>
        <w:left w:val="none" w:sz="0" w:space="0" w:color="auto"/>
        <w:bottom w:val="none" w:sz="0" w:space="0" w:color="auto"/>
        <w:right w:val="none" w:sz="0" w:space="0" w:color="auto"/>
      </w:divBdr>
    </w:div>
    <w:div w:id="19221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naglobal.com/" TargetMode="External"/><Relationship Id="rId18" Type="http://schemas.openxmlformats.org/officeDocument/2006/relationships/hyperlink" Target="http://news.oriontradingww.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ews.ansiblemobile.com/" TargetMode="External"/><Relationship Id="rId7" Type="http://schemas.openxmlformats.org/officeDocument/2006/relationships/footnotes" Target="footnotes.xml"/><Relationship Id="rId12" Type="http://schemas.openxmlformats.org/officeDocument/2006/relationships/hyperlink" Target="mailto:vincent.letang@magnaglobal.com" TargetMode="External"/><Relationship Id="rId17" Type="http://schemas.openxmlformats.org/officeDocument/2006/relationships/hyperlink" Target="http://news.bpnww.com/" TargetMode="External"/><Relationship Id="rId25" Type="http://schemas.openxmlformats.org/officeDocument/2006/relationships/hyperlink" Target="http://news.identityww.com/" TargetMode="External"/><Relationship Id="rId2" Type="http://schemas.openxmlformats.org/officeDocument/2006/relationships/numbering" Target="numbering.xml"/><Relationship Id="rId16" Type="http://schemas.openxmlformats.org/officeDocument/2006/relationships/hyperlink" Target="http://news.initiative.com/" TargetMode="External"/><Relationship Id="rId20" Type="http://schemas.openxmlformats.org/officeDocument/2006/relationships/hyperlink" Target="http://news.magnagloba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news.ensembleww.com/" TargetMode="External"/><Relationship Id="rId5" Type="http://schemas.openxmlformats.org/officeDocument/2006/relationships/settings" Target="settings.xml"/><Relationship Id="rId15" Type="http://schemas.openxmlformats.org/officeDocument/2006/relationships/hyperlink" Target="http://www.interpublic.com/" TargetMode="External"/><Relationship Id="rId23" Type="http://schemas.openxmlformats.org/officeDocument/2006/relationships/hyperlink" Target="http://ipgmedialab.tekgroupweb.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ews.idmediaww.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witter.com/MAGNAGLOBAL" TargetMode="External"/><Relationship Id="rId22" Type="http://schemas.openxmlformats.org/officeDocument/2006/relationships/hyperlink" Target="http://news.map-global.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9468-CB1F-434F-BFBC-CE002973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6113</Words>
  <Characters>34849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Letang, Vincent (NYC-MGL)</dc:creator>
  <cp:lastModifiedBy>Loriant, Genevieve (SIN-MBW)</cp:lastModifiedBy>
  <cp:revision>2</cp:revision>
  <cp:lastPrinted>2014-12-03T23:18:00Z</cp:lastPrinted>
  <dcterms:created xsi:type="dcterms:W3CDTF">2014-12-04T12:30:00Z</dcterms:created>
  <dcterms:modified xsi:type="dcterms:W3CDTF">2014-12-04T12:30:00Z</dcterms:modified>
</cp:coreProperties>
</file>